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TELOS Technical Method and Measurement Specification</w:t>
      </w:r>
    </w:p>
    <w:p>
      <w:pPr>
        <w:pStyle w:val="Subtitle"/>
      </w:pPr>
      <w:r>
        <w:t xml:space="preserve">Purpose Anchor formation, external reference measurement, agentic dimensions, and runtime observation</w:t>
      </w:r>
    </w:p>
    <w:p>
      <w:pPr>
        <w:pStyle w:val="Author"/>
      </w:pPr>
      <w:r>
        <w:t xml:space="preserve">TELOS AI Labs Inc.</w:t>
      </w:r>
    </w:p>
    <w:p>
      <w:pPr>
        <w:pStyle w:val="Date"/>
      </w:pPr>
      <w:r>
        <w:t xml:space="preserve">August 2026</w:t>
      </w:r>
    </w:p>
    <w:bookmarkStart w:id="73" w:name="Xf4c453553d485edce6f51ebec339e49179133f0"/>
    <w:p>
      <w:pPr>
        <w:pStyle w:val="Heading1"/>
      </w:pPr>
      <w:r>
        <w:t xml:space="preserve">TELOS Technical Method and Measurement Specification</w:t>
      </w:r>
    </w:p>
    <w:bookmarkStart w:id="9" w:name="scope"/>
    <w:p>
      <w:pPr>
        <w:pStyle w:val="Heading2"/>
      </w:pPr>
      <w:r>
        <w:t xml:space="preserve">1. Scope</w:t>
      </w:r>
    </w:p>
    <w:p>
      <w:pPr>
        <w:pStyle w:val="FirstParagraph"/>
      </w:pPr>
      <w:r>
        <w:t xml:space="preserve">This document preserves the complete mathematical method disclosed in the July 2026 TELOS whitepaper. It separates the method from the conceptual narrative, validation results, cryptographic receipt protocol, and regulatory crosswalk.</w:t>
      </w:r>
    </w:p>
    <w:p>
      <w:pPr>
        <w:pStyle w:val="BodyText"/>
      </w:pPr>
      <w:r>
        <w:t xml:space="preserve">This specification carries the disclosed mathematical relationships of the method. Where a</w:t>
      </w:r>
      <w:r>
        <w:t xml:space="preserve"> </w:t>
      </w:r>
      <w:r>
        <w:t xml:space="preserve">component is described but its implementation is held under NDA, that boundary is preserved</w:t>
      </w:r>
      <w:r>
        <w:t xml:space="preserve"> </w:t>
      </w:r>
      <w:r>
        <w:t xml:space="preserve">rather than an implementation being invented to fill it. The disclosure boundary is stated</w:t>
      </w:r>
      <w:r>
        <w:t xml:space="preserve"> </w:t>
      </w:r>
      <w:r>
        <w:t xml:space="preserve">explicitly in Section 13.</w:t>
      </w:r>
    </w:p>
    <w:p>
      <w:pPr>
        <w:pStyle w:val="BodyText"/>
      </w:pPr>
      <w:r>
        <w:t xml:space="preserve">TELOS measures alignment to a human-declared purpose. It does not measure factual correctness, universal safety, legal compliance, or the wisdom of an action.</w:t>
      </w:r>
    </w:p>
    <w:bookmarkEnd w:id="9"/>
    <w:bookmarkStart w:id="10" w:name="method-summary"/>
    <w:p>
      <w:pPr>
        <w:pStyle w:val="Heading2"/>
      </w:pPr>
      <w:r>
        <w:t xml:space="preserve">2. Method summary</w:t>
      </w:r>
    </w:p>
    <w:p>
      <w:pPr>
        <w:pStyle w:val="FirstParagraph"/>
      </w:pPr>
      <w:r>
        <w:t xml:space="preserve">The method has six stages:</w:t>
      </w:r>
    </w:p>
    <w:p>
      <w:pPr>
        <w:pStyle w:val="Compact"/>
        <w:numPr>
          <w:ilvl w:val="0"/>
          <w:numId w:val="1001"/>
        </w:numPr>
      </w:pPr>
      <w:r>
        <w:t xml:space="preserve">A human principal declares a behavioral specification.</w:t>
      </w:r>
    </w:p>
    <w:p>
      <w:pPr>
        <w:pStyle w:val="Compact"/>
        <w:numPr>
          <w:ilvl w:val="0"/>
          <w:numId w:val="1001"/>
        </w:numPr>
      </w:pPr>
      <w:r>
        <w:t xml:space="preserve">The approved specification is versioned as the Manifest.</w:t>
      </w:r>
    </w:p>
    <w:p>
      <w:pPr>
        <w:pStyle w:val="Compact"/>
        <w:numPr>
          <w:ilvl w:val="0"/>
          <w:numId w:val="1001"/>
        </w:numPr>
      </w:pPr>
      <w:r>
        <w:t xml:space="preserve">Manifest dimensions are encoded in an external embedding space to form the Purpose Anchor.</w:t>
      </w:r>
    </w:p>
    <w:p>
      <w:pPr>
        <w:pStyle w:val="Compact"/>
        <w:numPr>
          <w:ilvl w:val="0"/>
          <w:numId w:val="1001"/>
        </w:numPr>
      </w:pPr>
      <w:r>
        <w:t xml:space="preserve">Each action submitted by an integrated orchestration path is independently embedded.</w:t>
      </w:r>
    </w:p>
    <w:p>
      <w:pPr>
        <w:pStyle w:val="Compact"/>
        <w:numPr>
          <w:ilvl w:val="0"/>
          <w:numId w:val="1001"/>
        </w:numPr>
      </w:pPr>
      <w:r>
        <w:t xml:space="preserve">The fidelity engine measures the action against the fixed reference and configured boundary directions.</w:t>
      </w:r>
    </w:p>
    <w:p>
      <w:pPr>
        <w:pStyle w:val="Compact"/>
        <w:numPr>
          <w:ilvl w:val="0"/>
          <w:numId w:val="1001"/>
        </w:numPr>
      </w:pPr>
      <w:r>
        <w:t xml:space="preserve">The runtime records the scores, verdict, flags, tool metadata, and applicable cryptographic evidence.</w:t>
      </w:r>
    </w:p>
    <w:p>
      <w:pPr>
        <w:pStyle w:val="FirstParagraph"/>
      </w:pPr>
      <w:r>
        <w:t xml:space="preserve">The reference remains outside the governed model’s context. It changes only when the authorized principal changes the specification or when a new scorer configuration requires recompilation and approval.</w:t>
      </w:r>
    </w:p>
    <w:bookmarkEnd w:id="10"/>
    <w:bookmarkStart w:id="11" w:name="terms-and-notation"/>
    <w:p>
      <w:pPr>
        <w:pStyle w:val="Heading2"/>
      </w:pPr>
      <w:r>
        <w:t xml:space="preserve">3. Terms and notation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Symbol or term</w:t>
            </w:r>
          </w:p>
        </w:tc>
        <w:tc>
          <w:tcPr/>
          <w:p>
            <w:pPr>
              <w:pStyle w:val="Compact"/>
            </w:pPr>
            <w:r>
              <w:t xml:space="preserve">Meaning</w:t>
            </w:r>
          </w:p>
        </w:tc>
      </w:tr>
      <w:tr>
        <w:tc>
          <w:tcPr/>
          <w:p>
            <w:pPr>
              <w:pStyle w:val="Compact"/>
            </w:pPr>
            <w:r>
              <w:t xml:space="preserve">Manifest</w:t>
            </w:r>
          </w:p>
        </w:tc>
        <w:tc>
          <w:tcPr/>
          <w:p>
            <w:pPr>
              <w:pStyle w:val="Compact"/>
            </w:pPr>
            <w:r>
              <w:t xml:space="preserve">The human-readable, versioned, approved behavioral specification</w:t>
            </w:r>
          </w:p>
        </w:tc>
      </w:tr>
      <w:tr>
        <w:tc>
          <w:tcPr/>
          <w:p>
            <w:pPr>
              <w:pStyle w:val="Compact"/>
            </w:pPr>
            <w:r>
              <w:t xml:space="preserve">Purpose Anchor</w:t>
            </w:r>
          </w:p>
        </w:tc>
        <w:tc>
          <w:tcPr/>
          <w:p>
            <w:pPr>
              <w:pStyle w:val="Compact"/>
            </w:pPr>
            <w:r>
              <w:t xml:space="preserve">The mathematical reference compiled from the Manifest</w:t>
            </w:r>
          </w:p>
        </w:tc>
      </w:tr>
      <w:tr>
        <w:tc>
          <w:tcPr/>
          <w:p>
            <w:pPr>
              <w:pStyle w:val="Compact"/>
            </w:pPr>
            <m:oMath>
              <m:sSub>
                <m:e>
                  <m:r>
                    <m:t>p</m:t>
                  </m:r>
                </m:e>
                <m:sub>
                  <m:r>
                    <m:t>0</m:t>
                  </m:r>
                </m:sub>
              </m:sSub>
            </m:oMath>
          </w:p>
        </w:tc>
        <w:tc>
          <w:tcPr/>
          <w:p>
            <w:pPr>
              <w:pStyle w:val="Compact"/>
            </w:pPr>
            <w:r>
              <w:t xml:space="preserve">The fixed external reference embedding in the motivating conversational formalization</w:t>
            </w:r>
          </w:p>
        </w:tc>
      </w:tr>
      <w:tr>
        <w:tc>
          <w:tcPr/>
          <w:p>
            <w:pPr>
              <w:pStyle w:val="Compact"/>
            </w:pPr>
            <m:oMath>
              <m:sSub>
                <m:e>
                  <m:r>
                    <m:t>R</m:t>
                  </m:r>
                </m:e>
                <m:sub>
                  <m:r>
                    <m:t>t</m:t>
                  </m:r>
                </m:sub>
              </m:sSub>
            </m:oMath>
          </w:p>
        </w:tc>
        <w:tc>
          <w:tcPr/>
          <w:p>
            <w:pPr>
              <w:pStyle w:val="Compact"/>
            </w:pPr>
            <w:r>
              <w:t xml:space="preserve">The independent embedding of a response or action submitted at time</w:t>
            </w:r>
            <w:r>
              <w:t xml:space="preserve"> </w:t>
            </w:r>
            <m:oMath>
              <m:r>
                <m:t>t</m:t>
              </m:r>
            </m:oMath>
          </w:p>
        </w:tc>
      </w:tr>
      <w:tr>
        <w:tc>
          <w:tcPr/>
          <w:p>
            <w:pPr>
              <w:pStyle w:val="Compact"/>
            </w:pPr>
            <m:oMath>
              <m:sSub>
                <m:e>
                  <m:r>
                    <m:t>Q</m:t>
                  </m:r>
                </m:e>
                <m:sub>
                  <m:r>
                    <m:t>t</m:t>
                  </m:r>
                </m:sub>
              </m:sSub>
            </m:oMath>
          </w:p>
        </w:tc>
        <w:tc>
          <w:tcPr/>
          <w:p>
            <w:pPr>
              <w:pStyle w:val="Compact"/>
            </w:pPr>
            <w:r>
              <w:t xml:space="preserve">The governed transformer’s query representation at token or turn</w:t>
            </w:r>
            <w:r>
              <w:t xml:space="preserve"> </w:t>
            </w:r>
            <m:oMath>
              <m:r>
                <m:t>t</m:t>
              </m:r>
            </m:oMath>
            <w:r>
              <w:t xml:space="preserve"> </w:t>
            </w:r>
            <w:r>
              <w:t xml:space="preserve">in the motivating illustration</w:t>
            </w:r>
          </w:p>
        </w:tc>
      </w:tr>
      <w:tr>
        <w:tc>
          <w:tcPr/>
          <w:p>
            <w:pPr>
              <w:pStyle w:val="Compact"/>
            </w:pPr>
            <m:oMath>
              <m:sSub>
                <m:e>
                  <m:r>
                    <m:t>K</m:t>
                  </m:r>
                </m:e>
                <m:sub>
                  <m:r>
                    <m:t>i</m:t>
                  </m:r>
                </m:sub>
              </m:sSub>
            </m:oMath>
          </w:p>
        </w:tc>
        <w:tc>
          <w:tcPr/>
          <w:p>
            <w:pPr>
              <w:pStyle w:val="Compact"/>
            </w:pPr>
            <w:r>
              <w:t xml:space="preserve">A prior key representation inside the governed transformer’s context</w:t>
            </w:r>
          </w:p>
        </w:tc>
      </w:tr>
      <w:tr>
        <w:tc>
          <w:tcPr/>
          <w:p>
            <w:pPr>
              <w:pStyle w:val="Compact"/>
            </w:pPr>
            <m:oMath>
              <m:sSub>
                <m:e>
                  <m:r>
                    <m:t>α</m:t>
                  </m:r>
                </m:e>
                <m:sub>
                  <m:r>
                    <m:t>t</m:t>
                  </m:r>
                  <m:r>
                    <m:rPr>
                      <m:sty m:val="p"/>
                    </m:rPr>
                    <m:t>,</m:t>
                  </m:r>
                  <m:r>
                    <m:t>i</m:t>
                  </m:r>
                </m:sub>
              </m:sSub>
            </m:oMath>
          </w:p>
        </w:tc>
        <w:tc>
          <w:tcPr/>
          <w:p>
            <w:pPr>
              <w:pStyle w:val="Compact"/>
            </w:pPr>
            <w:r>
              <w:t xml:space="preserve">The attention weight assigned at time</w:t>
            </w:r>
            <w:r>
              <w:t xml:space="preserve"> </w:t>
            </w:r>
            <m:oMath>
              <m:r>
                <m:t>t</m:t>
              </m:r>
            </m:oMath>
            <w:r>
              <w:t xml:space="preserve"> </w:t>
            </w:r>
            <w:r>
              <w:t xml:space="preserve">to position</w:t>
            </w:r>
            <w:r>
              <w:t xml:space="preserve"> </w:t>
            </w:r>
            <m:oMath>
              <m:r>
                <m:t>i</m:t>
              </m:r>
            </m:oMath>
          </w:p>
        </w:tc>
      </w:tr>
      <w:tr>
        <w:tc>
          <w:tcPr/>
          <w:p>
            <w:pPr>
              <w:pStyle w:val="Compact"/>
            </w:pPr>
            <m:oMath>
              <m:sSub>
                <m:e>
                  <m:r>
                    <m:t>r</m:t>
                  </m:r>
                </m:e>
                <m:sub>
                  <m:r>
                    <m:t>t</m:t>
                  </m:r>
                </m:sub>
              </m:sSub>
            </m:oMath>
          </w:p>
        </w:tc>
        <w:tc>
          <w:tcPr/>
          <w:p>
            <w:pPr>
              <w:pStyle w:val="Compact"/>
            </w:pPr>
            <w:r>
              <w:t xml:space="preserve">The stylized effective internal reference induced by accumulated context</w:t>
            </w:r>
          </w:p>
        </w:tc>
      </w:tr>
      <w:tr>
        <w:tc>
          <w:tcPr/>
          <w:p>
            <w:pPr>
              <w:pStyle w:val="Compact"/>
            </w:pPr>
            <m:oMath>
              <m:sSub>
                <m:e>
                  <m:r>
                    <m:t>e</m:t>
                  </m:r>
                </m:e>
                <m:sub>
                  <m:r>
                    <m:t>t</m:t>
                  </m:r>
                </m:sub>
              </m:sSub>
            </m:oMath>
          </w:p>
        </w:tc>
        <w:tc>
          <w:tcPr/>
          <w:p>
            <w:pPr>
              <w:pStyle w:val="Compact"/>
            </w:pPr>
            <w:r>
              <w:t xml:space="preserve">Measured departure at time</w:t>
            </w:r>
            <w:r>
              <w:t xml:space="preserve"> </w:t>
            </w:r>
            <m:oMath>
              <m:r>
                <m:t>t</m:t>
              </m:r>
            </m:oMath>
          </w:p>
        </w:tc>
      </w:tr>
      <w:tr>
        <w:tc>
          <w:tcPr/>
          <w:p>
            <w:pPr>
              <w:pStyle w:val="Compact"/>
            </w:pPr>
            <m:oMath>
              <m:r>
                <m:t>K</m:t>
              </m:r>
            </m:oMath>
          </w:p>
        </w:tc>
        <w:tc>
          <w:tcPr/>
          <w:p>
            <w:pPr>
              <w:pStyle w:val="Compact"/>
            </w:pPr>
            <w:r>
              <w:t xml:space="preserve">Configured proportional factor for the response signal</w:t>
            </w:r>
          </w:p>
        </w:tc>
      </w:tr>
      <w:tr>
        <w:tc>
          <w:tcPr/>
          <w:p>
            <w:pPr>
              <w:pStyle w:val="Compact"/>
            </w:pPr>
            <m:oMath>
              <m:sSub>
                <m:e>
                  <m:r>
                    <m:t>F</m:t>
                  </m:r>
                </m:e>
                <m:sub>
                  <m:r>
                    <m:t>t</m:t>
                  </m:r>
                </m:sub>
              </m:sSub>
            </m:oMath>
          </w:p>
        </w:tc>
        <w:tc>
          <w:tcPr/>
          <w:p>
            <w:pPr>
              <w:pStyle w:val="Compact"/>
            </w:pPr>
            <w:r>
              <w:t xml:space="preserve">Graduated escalation magnitude produced from departure</w:t>
            </w:r>
          </w:p>
        </w:tc>
      </w:tr>
      <w:tr>
        <w:tc>
          <w:tcPr/>
          <w:p>
            <w:pPr>
              <w:pStyle w:val="Compact"/>
            </w:pPr>
            <m:oMath>
              <m:acc>
                <m:accPr>
                  <m:chr m:val="̂"/>
                </m:accPr>
                <m:e>
                  <m:r>
                    <m:t>a</m:t>
                  </m:r>
                </m:e>
              </m:acc>
            </m:oMath>
          </w:p>
        </w:tc>
        <w:tc>
          <w:tcPr/>
          <w:p>
            <w:pPr>
              <w:pStyle w:val="Compact"/>
            </w:pPr>
            <w:r>
              <w:t xml:space="preserve">Fixed reference in the attractor illustration</w:t>
            </w:r>
          </w:p>
        </w:tc>
      </w:tr>
      <w:tr>
        <w:tc>
          <w:tcPr/>
          <w:p>
            <w:pPr>
              <w:pStyle w:val="Compact"/>
            </w:pPr>
            <m:oMath>
              <m:r>
                <m:t>B</m:t>
              </m:r>
              <m:r>
                <m:rPr>
                  <m:sty m:val="p"/>
                </m:rPr>
                <m:t>(</m:t>
              </m:r>
              <m:acc>
                <m:accPr>
                  <m:chr m:val="̂"/>
                </m:accPr>
                <m:e>
                  <m:r>
                    <m:t>a</m:t>
                  </m:r>
                </m:e>
              </m:acc>
              <m:r>
                <m:rPr>
                  <m:sty m:val="p"/>
                </m:rPr>
                <m:t>,</m:t>
              </m:r>
              <m:r>
                <m:t>r</m:t>
              </m:r>
              <m:r>
                <m:rPr>
                  <m:sty m:val="p"/>
                </m:rPr>
                <m:t>)</m:t>
              </m:r>
            </m:oMath>
          </w:p>
        </w:tc>
        <w:tc>
          <w:tcPr/>
          <w:p>
            <w:pPr>
              <w:pStyle w:val="Compact"/>
            </w:pPr>
            <w:r>
              <w:t xml:space="preserve">Basin centered on</w:t>
            </w:r>
            <w:r>
              <w:t xml:space="preserve"> </w:t>
            </w:r>
            <m:oMath>
              <m:acc>
                <m:accPr>
                  <m:chr m:val="̂"/>
                </m:accPr>
                <m:e>
                  <m:r>
                    <m:t>a</m:t>
                  </m:r>
                </m:e>
              </m:acc>
            </m:oMath>
            <w:r>
              <w:t xml:space="preserve"> </w:t>
            </w:r>
            <w:r>
              <w:t xml:space="preserve">with configured radius</w:t>
            </w:r>
            <w:r>
              <w:t xml:space="preserve"> </w:t>
            </w:r>
            <m:oMath>
              <m:r>
                <m:t>r</m:t>
              </m:r>
            </m:oMath>
          </w:p>
        </w:tc>
      </w:tr>
      <w:tr>
        <w:tc>
          <w:tcPr/>
          <w:p>
            <w:pPr>
              <w:pStyle w:val="Compact"/>
            </w:pPr>
            <w:r>
              <w:t xml:space="preserve">Fidelity</w:t>
            </w:r>
          </w:p>
        </w:tc>
        <w:tc>
          <w:tcPr/>
          <w:p>
            <w:pPr>
              <w:pStyle w:val="Compact"/>
            </w:pPr>
            <w:r>
              <w:t xml:space="preserve">A configured measure of adherence to the declared specification</w:t>
            </w:r>
          </w:p>
        </w:tc>
      </w:tr>
      <w:tr>
        <w:tc>
          <w:tcPr/>
          <w:p>
            <w:pPr>
              <w:pStyle w:val="Compact"/>
            </w:pPr>
            <w:r>
              <w:t xml:space="preserve">Boundary proximity</w:t>
            </w:r>
          </w:p>
        </w:tc>
        <w:tc>
          <w:tcPr/>
          <w:p>
            <w:pPr>
              <w:pStyle w:val="Compact"/>
            </w:pPr>
            <w:r>
              <w:t xml:space="preserve">Evidence that an action approaches a declared prohibition or hard line</w:t>
            </w:r>
          </w:p>
        </w:tc>
      </w:tr>
      <w:tr>
        <w:tc>
          <w:tcPr/>
          <w:p>
            <w:pPr>
              <w:pStyle w:val="Compact"/>
            </w:pPr>
            <w:r>
              <w:t xml:space="preserve">Departure</w:t>
            </w:r>
          </w:p>
        </w:tc>
        <w:tc>
          <w:tcPr/>
          <w:p>
            <w:pPr>
              <w:pStyle w:val="Compact"/>
            </w:pPr>
            <w:r>
              <w:t xml:space="preserve">A runtime determination that a submitted action falls outside the configured Manifest conditions</w:t>
            </w:r>
          </w:p>
        </w:tc>
      </w:tr>
    </w:tbl>
    <w:bookmarkEnd w:id="11"/>
    <w:bookmarkStart w:id="12" w:name="Xfbb8ed1ab500f2369bc4da0e19e98712848c3ad"/>
    <w:p>
      <w:pPr>
        <w:pStyle w:val="Heading2"/>
      </w:pPr>
      <w:r>
        <w:t xml:space="preserve">4. Human authority and proportional measurement</w:t>
      </w:r>
    </w:p>
    <w:p>
      <w:pPr>
        <w:pStyle w:val="FirstParagraph"/>
      </w:pPr>
      <w:r>
        <w:t xml:space="preserve">The human principal declares the behavioral specification. The agent does not author its own governing reference. The topology is:</w:t>
      </w:r>
    </w:p>
    <w:p>
      <w:pPr>
        <w:pStyle w:val="Compact"/>
        <w:numPr>
          <w:ilvl w:val="0"/>
          <w:numId w:val="1002"/>
        </w:numPr>
      </w:pPr>
      <w:r>
        <w:t xml:space="preserve">Human authority declares and approves the behavioral specification.</w:t>
      </w:r>
    </w:p>
    <w:p>
      <w:pPr>
        <w:pStyle w:val="Compact"/>
        <w:numPr>
          <w:ilvl w:val="0"/>
          <w:numId w:val="1002"/>
        </w:numPr>
      </w:pPr>
      <w:r>
        <w:t xml:space="preserve">The governance layer measures each submitted action against the compiled reference.</w:t>
      </w:r>
    </w:p>
    <w:p>
      <w:pPr>
        <w:pStyle w:val="Compact"/>
        <w:numPr>
          <w:ilvl w:val="0"/>
          <w:numId w:val="1002"/>
        </w:numPr>
      </w:pPr>
      <w:r>
        <w:t xml:space="preserve">The governed model produces work under observation.</w:t>
      </w:r>
    </w:p>
    <w:p>
      <w:pPr>
        <w:pStyle w:val="Compact"/>
        <w:numPr>
          <w:ilvl w:val="0"/>
          <w:numId w:val="1002"/>
        </w:numPr>
      </w:pPr>
      <w:r>
        <w:t xml:space="preserve">Departures surface according to the human-declared escalation policy.</w:t>
      </w:r>
    </w:p>
    <w:p>
      <w:pPr>
        <w:pStyle w:val="FirstParagraph"/>
      </w:pPr>
      <w:r>
        <w:t xml:space="preserve">The proportional measurement signal is expressed as:</w:t>
      </w:r>
    </w:p>
    <w:p>
      <w:pPr>
        <w:pStyle w:val="BodyText"/>
      </w:pPr>
      <m:oMathPara>
        <m:oMathParaPr>
          <m:jc m:val="center"/>
        </m:oMathParaPr>
        <m:oMath>
          <m:sSub>
            <m:e>
              <m:r>
                <m:t>F</m:t>
              </m:r>
            </m:e>
            <m:sub>
              <m:r>
                <m:t>t</m:t>
              </m:r>
            </m:sub>
          </m:sSub>
          <m:r>
            <m:rPr>
              <m:sty m:val="p"/>
            </m:rPr>
            <m:t>=</m:t>
          </m:r>
          <m:r>
            <m:t>K</m:t>
          </m:r>
          <m:sSub>
            <m:e>
              <m:r>
                <m:t>e</m:t>
              </m:r>
            </m:e>
            <m:sub>
              <m:r>
                <m:t>t</m:t>
              </m:r>
            </m:sub>
          </m:sSub>
        </m:oMath>
      </m:oMathPara>
    </w:p>
    <w:p>
      <w:pPr>
        <w:pStyle w:val="FirstParagraph"/>
      </w:pPr>
      <m:oMath>
        <m:sSub>
          <m:e>
            <m:r>
              <m:t>F</m:t>
            </m:r>
          </m:e>
          <m:sub>
            <m:r>
              <m:t>t</m:t>
            </m:r>
          </m:sub>
        </m:sSub>
      </m:oMath>
      <w:r>
        <w:t xml:space="preserve"> </w:t>
      </w:r>
      <w:r>
        <w:t xml:space="preserve">is a scalar escalation magnitude that increases with departure. In the current observation layer it is not a force applied to the model state. It therefore carries no control sign convention. The adapter may carry enforcement capability, but the current internal configuration is observation-first.</w:t>
      </w:r>
    </w:p>
    <w:bookmarkEnd w:id="12"/>
    <w:bookmarkStart w:id="17" w:name="manifest-formation"/>
    <w:p>
      <w:pPr>
        <w:pStyle w:val="Heading2"/>
      </w:pPr>
      <w:r>
        <w:t xml:space="preserve">5. Manifest formation</w:t>
      </w:r>
    </w:p>
    <w:bookmarkStart w:id="13" w:name="declared-dimensions"/>
    <w:p>
      <w:pPr>
        <w:pStyle w:val="Heading3"/>
      </w:pPr>
      <w:r>
        <w:t xml:space="preserve">5.1 Declared dimensions</w:t>
      </w:r>
    </w:p>
    <w:p>
      <w:pPr>
        <w:pStyle w:val="FirstParagraph"/>
      </w:pPr>
      <w:r>
        <w:t xml:space="preserve">A Manifest may include:</w:t>
      </w:r>
    </w:p>
    <w:p>
      <w:pPr>
        <w:pStyle w:val="Compact"/>
        <w:numPr>
          <w:ilvl w:val="0"/>
          <w:numId w:val="1003"/>
        </w:numPr>
      </w:pPr>
      <w:r>
        <w:t xml:space="preserve">Purpose</w:t>
      </w:r>
    </w:p>
    <w:p>
      <w:pPr>
        <w:pStyle w:val="Compact"/>
        <w:numPr>
          <w:ilvl w:val="0"/>
          <w:numId w:val="1003"/>
        </w:numPr>
      </w:pPr>
      <w:r>
        <w:t xml:space="preserve">Scope</w:t>
      </w:r>
    </w:p>
    <w:p>
      <w:pPr>
        <w:pStyle w:val="Compact"/>
        <w:numPr>
          <w:ilvl w:val="0"/>
          <w:numId w:val="1003"/>
        </w:numPr>
      </w:pPr>
      <w:r>
        <w:t xml:space="preserve">Boundaries</w:t>
      </w:r>
    </w:p>
    <w:p>
      <w:pPr>
        <w:pStyle w:val="Compact"/>
        <w:numPr>
          <w:ilvl w:val="0"/>
          <w:numId w:val="1003"/>
        </w:numPr>
      </w:pPr>
      <w:r>
        <w:t xml:space="preserve">Tool authorizations</w:t>
      </w:r>
    </w:p>
    <w:p>
      <w:pPr>
        <w:pStyle w:val="Compact"/>
        <w:numPr>
          <w:ilvl w:val="0"/>
          <w:numId w:val="1003"/>
        </w:numPr>
      </w:pPr>
      <w:r>
        <w:t xml:space="preserve">Sequence or chain expectations</w:t>
      </w:r>
    </w:p>
    <w:p>
      <w:pPr>
        <w:pStyle w:val="Compact"/>
        <w:numPr>
          <w:ilvl w:val="0"/>
          <w:numId w:val="1003"/>
        </w:numPr>
      </w:pPr>
      <w:r>
        <w:t xml:space="preserve">Escalation policy</w:t>
      </w:r>
    </w:p>
    <w:p>
      <w:pPr>
        <w:pStyle w:val="Compact"/>
        <w:numPr>
          <w:ilvl w:val="0"/>
          <w:numId w:val="1003"/>
        </w:numPr>
      </w:pPr>
      <w:r>
        <w:t xml:space="preserve">Human approval and version information maintained by the deployment</w:t>
      </w:r>
    </w:p>
    <w:p>
      <w:pPr>
        <w:pStyle w:val="FirstParagraph"/>
      </w:pPr>
      <w:r>
        <w:t xml:space="preserve">The current public-facing agentic instrument set describes five scoring dimensions: purpose, scope, boundary, tool, and chain. The opened runtime exposes per-dimension scores, composite and effective fidelity, decision values, flags, and optional aggregates.</w:t>
      </w:r>
    </w:p>
    <w:p>
      <w:pPr>
        <w:pStyle w:val="BodyText"/>
      </w:pPr>
      <w:r>
        <w:t xml:space="preserve">ECI, Envelope Margin,</w:t>
      </w:r>
      <w:r>
        <w:t xml:space="preserve"> </w:t>
      </w:r>
      <w:r>
        <w:rPr>
          <w:rStyle w:val="VerbatimChar"/>
        </w:rPr>
        <w:t xml:space="preserve">compliance_rate</w:t>
      </w:r>
      <w:r>
        <w:t xml:space="preserve">, and CDR are not present in the opened implementation and are not claimed as runtime outputs.</w:t>
      </w:r>
    </w:p>
    <w:bookmarkEnd w:id="13"/>
    <w:bookmarkStart w:id="14" w:name="human-readable-and-mathematical-forms"/>
    <w:p>
      <w:pPr>
        <w:pStyle w:val="Heading3"/>
      </w:pPr>
      <w:r>
        <w:t xml:space="preserve">5.2 Human-readable and mathematical forms</w:t>
      </w:r>
    </w:p>
    <w:p>
      <w:pPr>
        <w:pStyle w:val="FirstParagraph"/>
      </w:pPr>
      <w:r>
        <w:t xml:space="preserve">The Manifest is the human-readable and approved artifact. The Purpose Anchor is its mathematical form.</w:t>
      </w:r>
    </w:p>
    <w:p>
      <w:pPr>
        <w:pStyle w:val="BodyText"/>
      </w:pPr>
      <w:r>
        <w:t xml:space="preserve">For the motivating example:</w:t>
      </w:r>
    </w:p>
    <w:p>
      <w:pPr>
        <w:pStyle w:val="Compact"/>
        <w:numPr>
          <w:ilvl w:val="0"/>
          <w:numId w:val="1004"/>
        </w:numPr>
      </w:pPr>
      <w:r>
        <w:t xml:space="preserve">Purpose: Help the principal structure a technical paper.</w:t>
      </w:r>
    </w:p>
    <w:p>
      <w:pPr>
        <w:pStyle w:val="Compact"/>
        <w:numPr>
          <w:ilvl w:val="0"/>
          <w:numId w:val="1004"/>
        </w:numPr>
      </w:pPr>
      <w:r>
        <w:t xml:space="preserve">Scope: Guide the principal’s thinking without drafting the content.</w:t>
      </w:r>
    </w:p>
    <w:p>
      <w:pPr>
        <w:pStyle w:val="Compact"/>
        <w:numPr>
          <w:ilvl w:val="0"/>
          <w:numId w:val="1004"/>
        </w:numPr>
      </w:pPr>
      <w:r>
        <w:t xml:space="preserve">Boundary: Do not write complete paragraphs on the principal’s behalf.</w:t>
      </w:r>
    </w:p>
    <w:p>
      <w:pPr>
        <w:pStyle w:val="FirstParagraph"/>
      </w:pPr>
      <w:r>
        <w:t xml:space="preserve">Each declaration is encoded as an embedding in</w:t>
      </w:r>
      <w:r>
        <w:t xml:space="preserve"> </w:t>
      </w:r>
      <m:oMath>
        <m:sSup>
          <m:e>
            <m:r>
              <m:rPr>
                <m:scr m:val="double-struck"/>
                <m:sty m:val="p"/>
              </m:rPr>
              <m:t>R</m:t>
            </m:r>
          </m:e>
          <m:sup>
            <m:r>
              <m:t>d</m:t>
            </m:r>
          </m:sup>
        </m:sSup>
      </m:oMath>
      <w:r>
        <w:t xml:space="preserve"> </w:t>
      </w:r>
      <w:r>
        <w:t xml:space="preserve">using a sentence embedding model. The declarations together define the reference against which submitted work is measured.</w:t>
      </w:r>
    </w:p>
    <w:bookmarkEnd w:id="14"/>
    <w:bookmarkStart w:id="15" w:name="goals-and-prohibitions"/>
    <w:p>
      <w:pPr>
        <w:pStyle w:val="Heading3"/>
      </w:pPr>
      <w:r>
        <w:t xml:space="preserve">5.3 Goals and prohibitions</w:t>
      </w:r>
    </w:p>
    <w:p>
      <w:pPr>
        <w:pStyle w:val="FirstParagraph"/>
      </w:pPr>
      <w:r>
        <w:t xml:space="preserve">Goals and prohibitions are not measured as interchangeable positive examples.</w:t>
      </w:r>
    </w:p>
    <w:p>
      <w:pPr>
        <w:pStyle w:val="Compact"/>
        <w:numPr>
          <w:ilvl w:val="0"/>
          <w:numId w:val="1005"/>
        </w:numPr>
      </w:pPr>
      <w:r>
        <w:t xml:space="preserve">Similarity toward a purpose can support evidence that an action concerns the declared assignment.</w:t>
      </w:r>
    </w:p>
    <w:p>
      <w:pPr>
        <w:pStyle w:val="Compact"/>
        <w:numPr>
          <w:ilvl w:val="0"/>
          <w:numId w:val="1005"/>
        </w:numPr>
      </w:pPr>
      <w:r>
        <w:t xml:space="preserve">Similarity toward a prohibition can indicate boundary proximity rather than good performance.</w:t>
      </w:r>
    </w:p>
    <w:p>
      <w:pPr>
        <w:pStyle w:val="FirstParagraph"/>
      </w:pPr>
      <w:r>
        <w:t xml:space="preserve">The engine therefore treats positive intent and prohibited direction differently. The composite formulation and tolerance mapping are disclosed in Sections 10.1 and 8.1. The specific boundary corpus contents and centroid construction remain held under NDA.</w:t>
      </w:r>
    </w:p>
    <w:bookmarkEnd w:id="15"/>
    <w:bookmarkStart w:id="16" w:name="formation-quality"/>
    <w:p>
      <w:pPr>
        <w:pStyle w:val="Heading3"/>
      </w:pPr>
      <w:r>
        <w:t xml:space="preserve">5.4 Formation quality</w:t>
      </w:r>
    </w:p>
    <w:p>
      <w:pPr>
        <w:pStyle w:val="FirstParagraph"/>
      </w:pPr>
      <w:r>
        <w:t xml:space="preserve">The measurement inherits the quality of the Manifest. A vague, conflicting, incomplete, or strategically permissive declaration creates a weak reference. TELOS measures the specification that the operator approved. It does not warrant that the specification is well formed.</w:t>
      </w:r>
    </w:p>
    <w:p>
      <w:pPr>
        <w:pStyle w:val="BodyText"/>
      </w:pPr>
      <w:r>
        <w:t xml:space="preserve">For evidence review, the declaration and its approval context should accompany the scored result. A procedurally consistent score does not cure a defective mandate.</w:t>
      </w:r>
    </w:p>
    <w:bookmarkEnd w:id="16"/>
    <w:bookmarkEnd w:id="17"/>
    <w:bookmarkStart w:id="28" w:name="why-the-reference-is-external"/>
    <w:p>
      <w:pPr>
        <w:pStyle w:val="Heading2"/>
      </w:pPr>
      <w:r>
        <w:t xml:space="preserve">6. Why the reference is external</w:t>
      </w:r>
    </w:p>
    <w:bookmarkStart w:id="20" w:name="transformer-attention"/>
    <w:p>
      <w:pPr>
        <w:pStyle w:val="Heading3"/>
      </w:pPr>
      <w:r>
        <w:t xml:space="preserve">6.1 Transformer attention</w:t>
      </w:r>
    </w:p>
    <w:p>
      <w:pPr>
        <w:pStyle w:val="FirstParagraph"/>
      </w:pPr>
      <w:r>
        <w:t xml:space="preserve">Transformer attention uses scaled dot-product similarity. Following</w:t>
      </w:r>
      <w:r>
        <w:t xml:space="preserve"> </w:t>
      </w:r>
      <w:hyperlink r:id="rId18">
        <w:r>
          <w:rPr>
            <w:rStyle w:val="Hyperlink"/>
          </w:rPr>
          <w:t xml:space="preserve">Vaswani et al.</w:t>
        </w:r>
      </w:hyperlink>
      <w:r>
        <w:t xml:space="preserve">:</w:t>
      </w:r>
    </w:p>
    <w:p>
      <w:pPr>
        <w:pStyle w:val="BodyText"/>
      </w:pPr>
      <m:oMathPara>
        <m:oMathParaPr>
          <m:jc m:val="center"/>
        </m:oMathParaPr>
        <m:oMath>
          <m:r>
            <m:rPr>
              <m:sty m:val="p"/>
            </m:rPr>
            <m:t>Attention</m:t>
          </m:r>
          <m:r>
            <m:rPr>
              <m:sty m:val="p"/>
            </m:rPr>
            <m:t>(</m:t>
          </m:r>
          <m:r>
            <m:t>Q</m:t>
          </m:r>
          <m:r>
            <m:rPr>
              <m:sty m:val="p"/>
            </m:rPr>
            <m:t>,</m:t>
          </m:r>
          <m:r>
            <m:t>K</m:t>
          </m:r>
          <m:r>
            <m:rPr>
              <m:sty m:val="p"/>
            </m:rPr>
            <m:t>,</m:t>
          </m:r>
          <m:r>
            <m:t>V</m:t>
          </m:r>
          <m:r>
            <m:rPr>
              <m:sty m:val="p"/>
            </m:rPr>
            <m:t>)</m:t>
          </m:r>
          <m:r>
            <m:rPr>
              <m:sty m:val="p"/>
            </m:rPr>
            <m:t>=</m:t>
          </m:r>
          <m:r>
            <m:rPr>
              <m:sty m:val="p"/>
            </m:rPr>
            <m:t>softmax</m:t>
          </m:r>
          <m:d>
            <m:dPr>
              <m:begChr m:val="("/>
              <m:sepChr m:val=""/>
              <m:endChr m:val=")"/>
              <m:grow/>
            </m:dPr>
            <m:e>
              <m:f>
                <m:fPr>
                  <m:type m:val="bar"/>
                </m:fPr>
                <m:num>
                  <m:r>
                    <m:t>Q</m:t>
                  </m:r>
                  <m:sSup>
                    <m:e>
                      <m:r>
                        <m:t>K</m:t>
                      </m:r>
                    </m:e>
                    <m:sup>
                      <m:r>
                        <m:t>T</m:t>
                      </m:r>
                    </m:sup>
                  </m:sSup>
                </m:num>
                <m:den>
                  <m:rad>
                    <m:radPr>
                      <m:degHide m:val="on"/>
                    </m:radPr>
                    <m:deg/>
                    <m:e>
                      <m:sSub>
                        <m:e>
                          <m:r>
                            <m:t>d</m:t>
                          </m:r>
                        </m:e>
                        <m:sub>
                          <m:r>
                            <m:t>k</m:t>
                          </m:r>
                        </m:sub>
                      </m:sSub>
                    </m:e>
                  </m:rad>
                </m:den>
              </m:f>
            </m:e>
          </m:d>
          <m:r>
            <m:t>V</m:t>
          </m:r>
        </m:oMath>
      </m:oMathPara>
    </w:p>
    <w:p>
      <w:pPr>
        <w:pStyle w:val="FirstParagraph"/>
      </w:pPr>
      <w:r>
        <w:t xml:space="preserve">The term</w:t>
      </w:r>
      <w:r>
        <w:t xml:space="preserve"> </w:t>
      </w:r>
      <m:oMath>
        <m:r>
          <m:t>Q</m:t>
        </m:r>
        <m:sSup>
          <m:e>
            <m:r>
              <m:t>K</m:t>
            </m:r>
          </m:e>
          <m:sup>
            <m:r>
              <m:t>T</m:t>
            </m:r>
          </m:sup>
        </m:sSup>
      </m:oMath>
      <w:r>
        <w:t xml:space="preserve"> </w:t>
      </w:r>
      <w:r>
        <w:t xml:space="preserve">is a dot product between query and key representations. It measures directional similarity before normalization and softmax. See the</w:t>
      </w:r>
      <w:r>
        <w:t xml:space="preserve"> </w:t>
      </w:r>
      <w:hyperlink r:id="rId19">
        <w:r>
          <w:rPr>
            <w:rStyle w:val="Hyperlink"/>
          </w:rPr>
          <w:t xml:space="preserve">PyTorch scaled dot-product attention documentation</w:t>
        </w:r>
      </w:hyperlink>
      <w:r>
        <w:t xml:space="preserve">.</w:t>
      </w:r>
    </w:p>
    <w:p>
      <w:pPr>
        <w:pStyle w:val="BodyText"/>
      </w:pPr>
      <w:r>
        <w:t xml:space="preserve">At token or turn</w:t>
      </w:r>
      <w:r>
        <w:t xml:space="preserve"> </w:t>
      </w:r>
      <m:oMath>
        <m:r>
          <m:t>t</m:t>
        </m:r>
      </m:oMath>
      <w:r>
        <w:t xml:space="preserve">, the model creates</w:t>
      </w:r>
      <w:r>
        <w:t xml:space="preserve"> </w:t>
      </w:r>
      <m:oMath>
        <m:sSub>
          <m:e>
            <m:r>
              <m:t>Q</m:t>
            </m:r>
          </m:e>
          <m:sub>
            <m:r>
              <m:t>t</m:t>
            </m:r>
          </m:sub>
        </m:sSub>
      </m:oMath>
      <w:r>
        <w:t xml:space="preserve"> </w:t>
      </w:r>
      <w:r>
        <w:t xml:space="preserve">and computes a score against each prior key</w:t>
      </w:r>
      <w:r>
        <w:t xml:space="preserve"> </w:t>
      </w:r>
      <m:oMath>
        <m:sSub>
          <m:e>
            <m:r>
              <m:t>K</m:t>
            </m:r>
          </m:e>
          <m:sub>
            <m:r>
              <m:t>i</m:t>
            </m:r>
          </m:sub>
        </m:sSub>
      </m:oMath>
      <w:r>
        <w:t xml:space="preserve">:</w:t>
      </w:r>
    </w:p>
    <w:p>
      <w:pPr>
        <w:pStyle w:val="BodyText"/>
      </w:pPr>
      <m:oMathPara>
        <m:oMathParaPr>
          <m:jc m:val="center"/>
        </m:oMathParaPr>
        <m:oMath>
          <m:sSub>
            <m:e>
              <m:r>
                <m:rPr>
                  <m:sty m:val="p"/>
                </m:rPr>
                <m:t>score</m:t>
              </m:r>
            </m:e>
            <m:sub>
              <m:r>
                <m:t>t</m:t>
              </m:r>
              <m:r>
                <m:rPr>
                  <m:sty m:val="p"/>
                </m:rPr>
                <m:t>,</m:t>
              </m:r>
              <m:r>
                <m:t>i</m:t>
              </m:r>
            </m:sub>
          </m:sSub>
          <m:r>
            <m:rPr>
              <m:sty m:val="p"/>
            </m:rPr>
            <m:t>=</m:t>
          </m:r>
          <m:sSub>
            <m:e>
              <m:r>
                <m:t>Q</m:t>
              </m:r>
            </m:e>
            <m:sub>
              <m:r>
                <m:t>t</m:t>
              </m:r>
            </m:sub>
          </m:sSub>
          <m:r>
            <m:rPr>
              <m:sty m:val="p"/>
            </m:rPr>
            <m:t>⋅</m:t>
          </m:r>
          <m:sSubSup>
            <m:e>
              <m:r>
                <m:t>K</m:t>
              </m:r>
            </m:e>
            <m:sub>
              <m:r>
                <m:t>i</m:t>
              </m:r>
            </m:sub>
            <m:sup>
              <m:r>
                <m:t>T</m:t>
              </m:r>
            </m:sup>
          </m:sSubSup>
        </m:oMath>
      </m:oMathPara>
    </w:p>
    <w:p>
      <w:pPr>
        <w:pStyle w:val="FirstParagraph"/>
      </w:pPr>
      <w:r>
        <w:t xml:space="preserve">After softmax, those values become attention weights that influence generation.</w:t>
      </w:r>
    </w:p>
    <w:bookmarkEnd w:id="20"/>
    <w:bookmarkStart w:id="21" w:name="motivating-example"/>
    <w:p>
      <w:pPr>
        <w:pStyle w:val="Heading3"/>
      </w:pPr>
      <w:r>
        <w:t xml:space="preserve">6.2 Motivating example</w:t>
      </w:r>
    </w:p>
    <w:p>
      <w:pPr>
        <w:pStyle w:val="FirstParagraph"/>
      </w:pPr>
      <w:r>
        <w:t xml:space="preserve">Assume the principal declares at turn 1:</w:t>
      </w:r>
    </w:p>
    <w:p>
      <w:pPr>
        <w:pStyle w:val="BlockText"/>
      </w:pPr>
      <w:r>
        <w:t xml:space="preserve">Provide guidance on structure, but do not write content directly.</w:t>
      </w:r>
    </w:p>
    <w:p>
      <w:pPr>
        <w:pStyle w:val="FirstParagraph"/>
      </w:pPr>
      <w:r>
        <w:t xml:space="preserve">Encode that declared reference as:</w:t>
      </w:r>
    </w:p>
    <w:p>
      <w:pPr>
        <w:pStyle w:val="BodyText"/>
      </w:pPr>
      <m:oMathPara>
        <m:oMathParaPr>
          <m:jc m:val="center"/>
        </m:oMathParaPr>
        <m:oMath>
          <m:sSub>
            <m:e>
              <m:r>
                <m:t>p</m:t>
              </m:r>
            </m:e>
            <m:sub>
              <m:r>
                <m:t>0</m:t>
              </m:r>
            </m:sub>
          </m:sSub>
          <m:r>
            <m:rPr>
              <m:sty m:val="p"/>
            </m:rPr>
            <m:t>∈</m:t>
          </m:r>
          <m:sSup>
            <m:e>
              <m:r>
                <m:rPr>
                  <m:scr m:val="double-struck"/>
                  <m:sty m:val="p"/>
                </m:rPr>
                <m:t>R</m:t>
              </m:r>
            </m:e>
            <m:sup>
              <m:r>
                <m:t>d</m:t>
              </m:r>
            </m:sup>
          </m:sSup>
        </m:oMath>
      </m:oMathPara>
    </w:p>
    <w:p>
      <w:pPr>
        <w:pStyle w:val="FirstParagraph"/>
      </w:pPr>
      <w:r>
        <w:t xml:space="preserve">At turn 15, the attention weight for prior position</w:t>
      </w:r>
      <w:r>
        <w:t xml:space="preserve"> </w:t>
      </w:r>
      <m:oMath>
        <m:r>
          <m:t>i</m:t>
        </m:r>
      </m:oMath>
      <w:r>
        <w:t xml:space="preserve"> </w:t>
      </w:r>
      <w:r>
        <w:t xml:space="preserve">is illustrated as:</w:t>
      </w:r>
    </w:p>
    <w:p>
      <w:pPr>
        <w:pStyle w:val="BodyText"/>
      </w:pPr>
      <m:oMathPara>
        <m:oMathParaPr>
          <m:jc m:val="center"/>
        </m:oMathParaPr>
        <m:oMath>
          <m:sSub>
            <m:e>
              <m:r>
                <m:t>α</m:t>
              </m:r>
            </m:e>
            <m:sub>
              <m:r>
                <m:t>15</m:t>
              </m:r>
              <m:r>
                <m:rPr>
                  <m:sty m:val="p"/>
                </m:rPr>
                <m:t>,</m:t>
              </m:r>
              <m:r>
                <m:t>i</m:t>
              </m:r>
            </m:sub>
          </m:sSub>
          <m:r>
            <m:rPr>
              <m:sty m:val="p"/>
            </m:rPr>
            <m:t>=</m:t>
          </m:r>
          <m:f>
            <m:fPr>
              <m:type m:val="bar"/>
            </m:fPr>
            <m:num>
              <m:r>
                <m:rPr>
                  <m:sty m:val="p"/>
                </m:rPr>
                <m:t>exp</m:t>
              </m:r>
              <m:d>
                <m:dPr>
                  <m:begChr m:val="("/>
                  <m:sepChr m:val=""/>
                  <m:endChr m:val=")"/>
                  <m:grow/>
                </m:dPr>
                <m:e>
                  <m:sSub>
                    <m:e>
                      <m:r>
                        <m:t>Q</m:t>
                      </m:r>
                    </m:e>
                    <m:sub>
                      <m:r>
                        <m:t>15</m:t>
                      </m:r>
                    </m:sub>
                  </m:sSub>
                  <m:r>
                    <m:rPr>
                      <m:sty m:val="p"/>
                    </m:rPr>
                    <m:t>⋅</m:t>
                  </m:r>
                  <m:sSubSup>
                    <m:e>
                      <m:r>
                        <m:t>K</m:t>
                      </m:r>
                    </m:e>
                    <m:sub>
                      <m:r>
                        <m:t>i</m:t>
                      </m:r>
                    </m:sub>
                    <m:sup>
                      <m:r>
                        <m:t>T</m:t>
                      </m:r>
                    </m:sup>
                  </m:sSubSup>
                  <m:r>
                    <m:rPr>
                      <m:sty m:val="p"/>
                    </m:rPr>
                    <m:t>/</m:t>
                  </m:r>
                  <m:rad>
                    <m:radPr>
                      <m:degHide m:val="on"/>
                    </m:radPr>
                    <m:deg/>
                    <m:e>
                      <m:sSub>
                        <m:e>
                          <m:r>
                            <m:t>d</m:t>
                          </m:r>
                        </m:e>
                        <m:sub>
                          <m:r>
                            <m:t>k</m:t>
                          </m:r>
                        </m:sub>
                      </m:sSub>
                    </m:e>
                  </m:rad>
                </m:e>
              </m:d>
            </m:num>
            <m:den>
              <m:nary>
                <m:naryPr>
                  <m:chr m:val="∑"/>
                  <m:limLoc m:val="undOvr"/>
                  <m:subHide m:val="off"/>
                  <m:supHide m:val="on"/>
                </m:naryPr>
                <m:sub>
                  <m:r>
                    <m:t>j</m:t>
                  </m:r>
                </m:sub>
                <m:sup>
                  <m:r>
                    <m:t>​</m:t>
                  </m:r>
                </m:sup>
                <m:e>
                  <m:r>
                    <m:rPr>
                      <m:sty m:val="p"/>
                    </m:rPr>
                    <m:t>exp</m:t>
                  </m:r>
                </m:e>
              </m:nary>
              <m:d>
                <m:dPr>
                  <m:begChr m:val="("/>
                  <m:sepChr m:val=""/>
                  <m:endChr m:val=")"/>
                  <m:grow/>
                </m:dPr>
                <m:e>
                  <m:sSub>
                    <m:e>
                      <m:r>
                        <m:t>Q</m:t>
                      </m:r>
                    </m:e>
                    <m:sub>
                      <m:r>
                        <m:t>15</m:t>
                      </m:r>
                    </m:sub>
                  </m:sSub>
                  <m:r>
                    <m:rPr>
                      <m:sty m:val="p"/>
                    </m:rPr>
                    <m:t>⋅</m:t>
                  </m:r>
                  <m:sSubSup>
                    <m:e>
                      <m:r>
                        <m:t>K</m:t>
                      </m:r>
                    </m:e>
                    <m:sub>
                      <m:r>
                        <m:t>j</m:t>
                      </m:r>
                    </m:sub>
                    <m:sup>
                      <m:r>
                        <m:t>T</m:t>
                      </m:r>
                    </m:sup>
                  </m:sSubSup>
                  <m:r>
                    <m:rPr>
                      <m:sty m:val="p"/>
                    </m:rPr>
                    <m:t>/</m:t>
                  </m:r>
                  <m:rad>
                    <m:radPr>
                      <m:degHide m:val="on"/>
                    </m:radPr>
                    <m:deg/>
                    <m:e>
                      <m:sSub>
                        <m:e>
                          <m:r>
                            <m:t>d</m:t>
                          </m:r>
                        </m:e>
                        <m:sub>
                          <m:r>
                            <m:t>k</m:t>
                          </m:r>
                        </m:sub>
                      </m:sSub>
                    </m:e>
                  </m:rad>
                </m:e>
              </m:d>
            </m:den>
          </m:f>
        </m:oMath>
      </m:oMathPara>
    </w:p>
    <w:p>
      <w:pPr>
        <w:pStyle w:val="FirstParagraph"/>
      </w:pPr>
      <w:r>
        <w:t xml:space="preserve">If recent keys</w:t>
      </w:r>
      <w:r>
        <w:t xml:space="preserve"> </w:t>
      </w:r>
      <m:oMath>
        <m:sSub>
          <m:e>
            <m:r>
              <m:t>K</m:t>
            </m:r>
          </m:e>
          <m:sub>
            <m:r>
              <m:t>12</m:t>
            </m:r>
          </m:sub>
        </m:sSub>
      </m:oMath>
      <w:r>
        <w:t xml:space="preserve">,</w:t>
      </w:r>
      <w:r>
        <w:t xml:space="preserve"> </w:t>
      </w:r>
      <m:oMath>
        <m:sSub>
          <m:e>
            <m:r>
              <m:t>K</m:t>
            </m:r>
          </m:e>
          <m:sub>
            <m:r>
              <m:t>13</m:t>
            </m:r>
          </m:sub>
        </m:sSub>
      </m:oMath>
      <w:r>
        <w:t xml:space="preserve">, and</w:t>
      </w:r>
      <w:r>
        <w:t xml:space="preserve"> </w:t>
      </w:r>
      <m:oMath>
        <m:sSub>
          <m:e>
            <m:r>
              <m:t>K</m:t>
            </m:r>
          </m:e>
          <m:sub>
            <m:r>
              <m:t>14</m:t>
            </m:r>
          </m:sub>
        </m:sSub>
      </m:oMath>
      <w:r>
        <w:t xml:space="preserve"> </w:t>
      </w:r>
      <w:r>
        <w:t xml:space="preserve">have drifted from</w:t>
      </w:r>
      <w:r>
        <w:t xml:space="preserve"> </w:t>
      </w:r>
      <m:oMath>
        <m:sSub>
          <m:e>
            <m:r>
              <m:t>p</m:t>
            </m:r>
          </m:e>
          <m:sub>
            <m:r>
              <m:t>0</m:t>
            </m:r>
          </m:sub>
        </m:sSub>
      </m:oMath>
      <w:r>
        <w:t xml:space="preserve">, the model can remain locally coherent with recent context while diverging from the declared reference:</w:t>
      </w:r>
    </w:p>
    <w:p>
      <w:pPr>
        <w:pStyle w:val="BodyText"/>
      </w:pPr>
      <m:oMathPara>
        <m:oMathParaPr>
          <m:jc m:val="center"/>
        </m:oMathParaPr>
        <m:oMath>
          <m:sSub>
            <m:e>
              <m:r>
                <m:t>Q</m:t>
              </m:r>
            </m:e>
            <m:sub>
              <m:r>
                <m:t>15</m:t>
              </m:r>
            </m:sub>
          </m:sSub>
          <m:r>
            <m:rPr>
              <m:sty m:val="p"/>
            </m:rPr>
            <m:t>⋅</m:t>
          </m:r>
          <m:sSubSup>
            <m:e>
              <m:r>
                <m:t>K</m:t>
              </m:r>
            </m:e>
            <m:sub>
              <m:r>
                <m:t>14</m:t>
              </m:r>
            </m:sub>
            <m:sup>
              <m:r>
                <m:t>T</m:t>
              </m:r>
            </m:sup>
          </m:sSubSup>
          <m:r>
            <m:rPr>
              <m:sty m:val="p"/>
            </m:rPr>
            <m:t>≈</m:t>
          </m:r>
          <m:r>
            <m:rPr>
              <m:nor/>
              <m:sty m:val="p"/>
            </m:rPr>
            <m:t>high similarity</m:t>
          </m:r>
        </m:oMath>
      </m:oMathPara>
    </w:p>
    <w:p>
      <w:pPr>
        <w:pStyle w:val="FirstParagraph"/>
      </w:pPr>
      <w:r>
        <w:t xml:space="preserve">while:</w:t>
      </w:r>
    </w:p>
    <w:p>
      <w:pPr>
        <w:pStyle w:val="BodyText"/>
      </w:pPr>
      <m:oMathPara>
        <m:oMathParaPr>
          <m:jc m:val="center"/>
        </m:oMathParaPr>
        <m:oMath>
          <m:sSub>
            <m:e>
              <m:r>
                <m:t>K</m:t>
              </m:r>
            </m:e>
            <m:sub>
              <m:r>
                <m:t>14</m:t>
              </m:r>
            </m:sub>
          </m:sSub>
          <m:r>
            <m:rPr>
              <m:sty m:val="p"/>
            </m:rPr>
            <m:t>⋅</m:t>
          </m:r>
          <m:sSubSup>
            <m:e>
              <m:r>
                <m:t>p</m:t>
              </m:r>
            </m:e>
            <m:sub>
              <m:r>
                <m:t>0</m:t>
              </m:r>
            </m:sub>
            <m:sup>
              <m:r>
                <m:t>T</m:t>
              </m:r>
            </m:sup>
          </m:sSubSup>
          <m:r>
            <m:rPr>
              <m:sty m:val="p"/>
            </m:rPr>
            <m:t>≈</m:t>
          </m:r>
          <m:r>
            <m:rPr>
              <m:nor/>
              <m:sty m:val="p"/>
            </m:rPr>
            <m:t>low similarity</m:t>
          </m:r>
        </m:oMath>
      </m:oMathPara>
    </w:p>
    <w:p>
      <w:pPr>
        <w:pStyle w:val="FirstParagraph"/>
      </w:pPr>
      <w:r>
        <w:t xml:space="preserve">The similarity computation can be internally coherent even when the reference against which it is implicitly operating has moved.</w:t>
      </w:r>
    </w:p>
    <w:bookmarkEnd w:id="21"/>
    <w:bookmarkStart w:id="27" w:name="stylized-effective-reference-model"/>
    <w:p>
      <w:pPr>
        <w:pStyle w:val="Heading3"/>
      </w:pPr>
      <w:r>
        <w:t xml:space="preserve">6.3 Stylized effective-reference model</w:t>
      </w:r>
    </w:p>
    <w:p>
      <w:pPr>
        <w:pStyle w:val="FirstParagraph"/>
      </w:pPr>
      <w:r>
        <w:t xml:space="preserve">Let</w:t>
      </w:r>
      <w:r>
        <w:t xml:space="preserve"> </w:t>
      </w:r>
      <m:oMath>
        <m:sSub>
          <m:e>
            <m:r>
              <m:t>r</m:t>
            </m:r>
          </m:e>
          <m:sub>
            <m:r>
              <m:t>t</m:t>
            </m:r>
          </m:sub>
        </m:sSub>
      </m:oMath>
      <w:r>
        <w:t xml:space="preserve"> </w:t>
      </w:r>
      <w:r>
        <w:t xml:space="preserve">denote a stylized effective reference at time</w:t>
      </w:r>
      <w:r>
        <w:t xml:space="preserve"> </w:t>
      </w:r>
      <m:oMath>
        <m:r>
          <m:t>t</m:t>
        </m:r>
      </m:oMath>
      <w:r>
        <w:t xml:space="preserve">, represented as an attention-weighted average of prior key vectors:</w:t>
      </w:r>
    </w:p>
    <w:p>
      <w:pPr>
        <w:pStyle w:val="BodyText"/>
      </w:pPr>
      <m:oMathPara>
        <m:oMathParaPr>
          <m:jc m:val="center"/>
        </m:oMathParaPr>
        <m:oMath>
          <m:sSub>
            <m:e>
              <m:r>
                <m:t>r</m:t>
              </m:r>
            </m:e>
            <m:sub>
              <m:r>
                <m:t>t</m:t>
              </m:r>
            </m:sub>
          </m:sSub>
          <m:r>
            <m:rPr>
              <m:sty m:val="p"/>
            </m:rPr>
            <m:t>=</m:t>
          </m:r>
          <m:nary>
            <m:naryPr>
              <m:chr m:val="∑"/>
              <m:limLoc m:val="undOvr"/>
              <m:subHide m:val="off"/>
              <m:supHide m:val="off"/>
            </m:naryPr>
            <m:sub>
              <m:r>
                <m:t>i</m:t>
              </m:r>
              <m:r>
                <m:rPr>
                  <m:sty m:val="p"/>
                </m:rPr>
                <m:t>=</m:t>
              </m:r>
              <m:r>
                <m:t>1</m:t>
              </m:r>
            </m:sub>
            <m:sup>
              <m:r>
                <m:t>t</m:t>
              </m:r>
              <m:r>
                <m:rPr>
                  <m:sty m:val="p"/>
                </m:rPr>
                <m:t>−</m:t>
              </m:r>
              <m:r>
                <m:t>1</m:t>
              </m:r>
            </m:sup>
            <m:e>
              <m:sSub>
                <m:e>
                  <m:r>
                    <m:t>α</m:t>
                  </m:r>
                </m:e>
                <m:sub>
                  <m:r>
                    <m:t>t</m:t>
                  </m:r>
                  <m:r>
                    <m:rPr>
                      <m:sty m:val="p"/>
                    </m:rPr>
                    <m:t>,</m:t>
                  </m:r>
                  <m:r>
                    <m:t>i</m:t>
                  </m:r>
                </m:sub>
              </m:sSub>
            </m:e>
          </m:nary>
          <m:sSub>
            <m:e>
              <m:r>
                <m:t>k</m:t>
              </m:r>
            </m:e>
            <m:sub>
              <m:r>
                <m:t>i</m:t>
              </m:r>
            </m:sub>
          </m:sSub>
        </m:oMath>
      </m:oMathPara>
    </w:p>
    <w:p>
      <w:pPr>
        <w:pStyle w:val="FirstParagraph"/>
      </w:pPr>
      <w:r>
        <w:t xml:space="preserve">This is a motivating simplification. Actual attention aggregates value vectors, not key vectors, and rotary positional embeddings apply position-dependent rotations rather than an explicit exponential decay envelope. The expression is not presented as a literal implementation of transformer attention.</w:t>
      </w:r>
    </w:p>
    <w:p>
      <w:pPr>
        <w:pStyle w:val="BodyText"/>
      </w:pPr>
      <w:r>
        <w:t xml:space="preserve">To illustrate recency bias, let:</w:t>
      </w:r>
    </w:p>
    <w:p>
      <w:pPr>
        <w:pStyle w:val="BodyText"/>
      </w:pPr>
      <m:oMathPara>
        <m:oMathParaPr>
          <m:jc m:val="center"/>
        </m:oMathParaPr>
        <m:oMath>
          <m:sSub>
            <m:e>
              <m:r>
                <m:t>α</m:t>
              </m:r>
            </m:e>
            <m:sub>
              <m:r>
                <m:t>t</m:t>
              </m:r>
              <m:r>
                <m:rPr>
                  <m:sty m:val="p"/>
                </m:rPr>
                <m:t>,</m:t>
              </m:r>
              <m:r>
                <m:t>i</m:t>
              </m:r>
            </m:sub>
          </m:sSub>
          <m:r>
            <m:rPr>
              <m:sty m:val="p"/>
            </m:rPr>
            <m:t>∝</m:t>
          </m:r>
          <m:r>
            <m:rPr>
              <m:sty m:val="p"/>
            </m:rPr>
            <m:t>exp</m:t>
          </m:r>
          <m:d>
            <m:dPr>
              <m:begChr m:val="("/>
              <m:sepChr m:val=""/>
              <m:endChr m:val=")"/>
              <m:grow/>
            </m:dPr>
            <m:e>
              <m:r>
                <m:rPr>
                  <m:sty m:val="p"/>
                </m:rPr>
                <m:t>−</m:t>
              </m:r>
              <m:r>
                <m:t>β</m:t>
              </m:r>
              <m:r>
                <m:rPr>
                  <m:sty m:val="p"/>
                </m:rPr>
                <m:t>(</m:t>
              </m:r>
              <m:r>
                <m:t>t</m:t>
              </m:r>
              <m:r>
                <m:rPr>
                  <m:sty m:val="p"/>
                </m:rPr>
                <m:t>−</m:t>
              </m:r>
              <m:r>
                <m:t>i</m:t>
              </m:r>
              <m:r>
                <m:rPr>
                  <m:sty m:val="p"/>
                </m:rPr>
                <m:t>)</m:t>
              </m:r>
            </m:e>
          </m:d>
          <m:r>
            <m:rPr>
              <m:sty m:val="p"/>
            </m:rPr>
            <m:t>⋅</m:t>
          </m:r>
          <m:r>
            <m:rPr>
              <m:sty m:val="p"/>
            </m:rPr>
            <m:t>exp</m:t>
          </m:r>
          <m:d>
            <m:dPr>
              <m:begChr m:val="("/>
              <m:sepChr m:val=""/>
              <m:endChr m:val=")"/>
              <m:grow/>
            </m:dPr>
            <m:e>
              <m:sSub>
                <m:e>
                  <m:r>
                    <m:t>Q</m:t>
                  </m:r>
                </m:e>
                <m:sub>
                  <m:r>
                    <m:t>t</m:t>
                  </m:r>
                </m:sub>
              </m:sSub>
              <m:r>
                <m:rPr>
                  <m:sty m:val="p"/>
                </m:rPr>
                <m:t>⋅</m:t>
              </m:r>
              <m:sSubSup>
                <m:e>
                  <m:r>
                    <m:t>K</m:t>
                  </m:r>
                </m:e>
                <m:sub>
                  <m:r>
                    <m:t>i</m:t>
                  </m:r>
                </m:sub>
                <m:sup>
                  <m:r>
                    <m:t>T</m:t>
                  </m:r>
                </m:sup>
              </m:sSubSup>
              <m:r>
                <m:rPr>
                  <m:sty m:val="p"/>
                </m:rPr>
                <m:t>/</m:t>
              </m:r>
              <m:rad>
                <m:radPr>
                  <m:degHide m:val="on"/>
                </m:radPr>
                <m:deg/>
                <m:e>
                  <m:sSub>
                    <m:e>
                      <m:r>
                        <m:t>d</m:t>
                      </m:r>
                    </m:e>
                    <m:sub>
                      <m:r>
                        <m:t>k</m:t>
                      </m:r>
                    </m:sub>
                  </m:sSub>
                </m:e>
              </m:rad>
            </m:e>
          </m:d>
          <m:r>
            <m:rPr>
              <m:sty m:val="p"/>
            </m:rPr>
            <m:t>,</m:t>
          </m:r>
          <m:r>
            <m:t>  </m:t>
          </m:r>
          <m:r>
            <m:t>β</m:t>
          </m:r>
          <m:r>
            <m:rPr>
              <m:sty m:val="p"/>
            </m:rPr>
            <m:t>&gt;</m:t>
          </m:r>
          <m:r>
            <m:t>0</m:t>
          </m:r>
        </m:oMath>
      </m:oMathPara>
    </w:p>
    <w:p>
      <w:pPr>
        <w:pStyle w:val="FirstParagraph"/>
      </w:pPr>
      <w:r>
        <w:t xml:space="preserve">Over turns, the effective reference can move away from the original declaration:</w:t>
      </w:r>
    </w:p>
    <w:p>
      <w:pPr>
        <w:pStyle w:val="BodyText"/>
      </w:pPr>
      <m:oMathPara>
        <m:oMathParaPr>
          <m:jc m:val="center"/>
        </m:oMathParaPr>
        <m:oMath>
          <m:d>
            <m:dPr>
              <m:begChr m:val="∥"/>
              <m:sepChr m:val=""/>
              <m:endChr m:val="∥"/>
              <m:grow/>
            </m:dPr>
            <m:e>
              <m:sSub>
                <m:e>
                  <m:r>
                    <m:t>r</m:t>
                  </m:r>
                </m:e>
                <m:sub>
                  <m:r>
                    <m:t>t</m:t>
                  </m:r>
                </m:sub>
              </m:sSub>
              <m:r>
                <m:rPr>
                  <m:sty m:val="p"/>
                </m:rPr>
                <m:t>−</m:t>
              </m:r>
              <m:sSub>
                <m:e>
                  <m:r>
                    <m:t>p</m:t>
                  </m:r>
                </m:e>
                <m:sub>
                  <m:r>
                    <m:t>0</m:t>
                  </m:r>
                </m:sub>
              </m:sSub>
            </m:e>
          </m:d>
          <m:r>
            <m:rPr>
              <m:sty m:val="p"/>
            </m:rPr>
            <m:t>=</m:t>
          </m:r>
          <m:d>
            <m:dPr>
              <m:begChr m:val="∥"/>
              <m:sepChr m:val=""/>
              <m:endChr m:val="∥"/>
              <m:grow/>
            </m:dPr>
            <m:e>
              <m:nary>
                <m:naryPr>
                  <m:chr m:val="∑"/>
                  <m:limLoc m:val="undOvr"/>
                  <m:subHide m:val="off"/>
                  <m:supHide m:val="off"/>
                </m:naryPr>
                <m:sub>
                  <m:r>
                    <m:t>i</m:t>
                  </m:r>
                  <m:r>
                    <m:rPr>
                      <m:sty m:val="p"/>
                    </m:rPr>
                    <m:t>=</m:t>
                  </m:r>
                  <m:r>
                    <m:t>1</m:t>
                  </m:r>
                </m:sub>
                <m:sup>
                  <m:r>
                    <m:t>t</m:t>
                  </m:r>
                  <m:r>
                    <m:rPr>
                      <m:sty m:val="p"/>
                    </m:rPr>
                    <m:t>−</m:t>
                  </m:r>
                  <m:r>
                    <m:t>1</m:t>
                  </m:r>
                </m:sup>
                <m:e>
                  <m:sSub>
                    <m:e>
                      <m:r>
                        <m:t>α</m:t>
                      </m:r>
                    </m:e>
                    <m:sub>
                      <m:r>
                        <m:t>t</m:t>
                      </m:r>
                      <m:r>
                        <m:rPr>
                          <m:sty m:val="p"/>
                        </m:rPr>
                        <m:t>,</m:t>
                      </m:r>
                      <m:r>
                        <m:t>i</m:t>
                      </m:r>
                    </m:sub>
                  </m:sSub>
                </m:e>
              </m:nary>
              <m:sSub>
                <m:e>
                  <m:r>
                    <m:t>k</m:t>
                  </m:r>
                </m:e>
                <m:sub>
                  <m:r>
                    <m:t>i</m:t>
                  </m:r>
                </m:sub>
              </m:sSub>
              <m:r>
                <m:rPr>
                  <m:sty m:val="p"/>
                </m:rPr>
                <m:t>−</m:t>
              </m:r>
              <m:sSub>
                <m:e>
                  <m:r>
                    <m:t>p</m:t>
                  </m:r>
                </m:e>
                <m:sub>
                  <m:r>
                    <m:t>0</m:t>
                  </m:r>
                </m:sub>
              </m:sSub>
            </m:e>
          </m:d>
          <m:r>
            <m:rPr>
              <m:sty m:val="p"/>
            </m:rPr>
            <m:t>→</m:t>
          </m:r>
          <m:r>
            <m:rPr>
              <m:sty m:val="p"/>
            </m:rPr>
            <m:t>Δ</m:t>
          </m:r>
          <m:r>
            <m:rPr>
              <m:sty m:val="p"/>
            </m:rPr>
            <m:t>&gt;</m:t>
          </m:r>
          <m:r>
            <m:t>0</m:t>
          </m:r>
        </m:oMath>
      </m:oMathPara>
    </w:p>
    <w:p>
      <w:pPr>
        <w:pStyle w:val="FirstParagraph"/>
      </w:pPr>
      <w:r>
        <w:t xml:space="preserve">The model can retain high local similarity while losing global fidelity:</w:t>
      </w:r>
    </w:p>
    <w:p>
      <w:pPr>
        <w:pStyle w:val="BodyText"/>
      </w:pPr>
      <m:oMathPara>
        <m:oMathParaPr>
          <m:jc m:val="center"/>
        </m:oMathParaPr>
        <m:oMath>
          <m:sSub>
            <m:e>
              <m:r>
                <m:rPr>
                  <m:sty m:val="p"/>
                </m:rPr>
                <m:t>similarity</m:t>
              </m:r>
            </m:e>
            <m:sub>
              <m:r>
                <m:t>t</m:t>
              </m:r>
            </m:sub>
          </m:sSub>
          <m:r>
            <m:rPr>
              <m:sty m:val="p"/>
            </m:rPr>
            <m:t>=</m:t>
          </m:r>
          <m:sSub>
            <m:e>
              <m:r>
                <m:t>Q</m:t>
              </m:r>
            </m:e>
            <m:sub>
              <m:r>
                <m:t>t</m:t>
              </m:r>
            </m:sub>
          </m:sSub>
          <m:r>
            <m:rPr>
              <m:sty m:val="p"/>
            </m:rPr>
            <m:t>⋅</m:t>
          </m:r>
          <m:sSubSup>
            <m:e>
              <m:r>
                <m:t>r</m:t>
              </m:r>
            </m:e>
            <m:sub>
              <m:r>
                <m:t>t</m:t>
              </m:r>
            </m:sub>
            <m:sup>
              <m:r>
                <m:t>T</m:t>
              </m:r>
            </m:sup>
          </m:sSubSup>
        </m:oMath>
      </m:oMathPara>
    </w:p>
    <w:p>
      <w:pPr>
        <w:pStyle w:val="FirstParagraph"/>
      </w:pPr>
      <m:oMathPara>
        <m:oMathParaPr>
          <m:jc m:val="center"/>
        </m:oMathParaPr>
        <m:oMath>
          <m:sSub>
            <m:e>
              <m:r>
                <m:rPr>
                  <m:sty m:val="p"/>
                </m:rPr>
                <m:t>fidelity</m:t>
              </m:r>
            </m:e>
            <m:sub>
              <m:r>
                <m:t>t</m:t>
              </m:r>
            </m:sub>
          </m:sSub>
          <m:r>
            <m:rPr>
              <m:sty m:val="p"/>
            </m:rPr>
            <m:t>=</m:t>
          </m:r>
          <m:sSub>
            <m:e>
              <m:r>
                <m:t>Q</m:t>
              </m:r>
            </m:e>
            <m:sub>
              <m:r>
                <m:t>t</m:t>
              </m:r>
            </m:sub>
          </m:sSub>
          <m:r>
            <m:rPr>
              <m:sty m:val="p"/>
            </m:rPr>
            <m:t>⋅</m:t>
          </m:r>
          <m:sSubSup>
            <m:e>
              <m:r>
                <m:t>p</m:t>
              </m:r>
            </m:e>
            <m:sub>
              <m:r>
                <m:t>0</m:t>
              </m:r>
            </m:sub>
            <m:sup>
              <m:r>
                <m:t>T</m:t>
              </m:r>
            </m:sup>
          </m:sSubSup>
        </m:oMath>
      </m:oMathPara>
    </w:p>
    <w:p>
      <w:pPr>
        <w:pStyle w:val="FirstParagraph"/>
      </w:pPr>
      <w:r>
        <w:t xml:space="preserve">The first can remain high because each step fits recent context. The second can fall because the sequence has moved away from the original declared purpose.</w:t>
      </w:r>
    </w:p>
    <w:p>
      <w:pPr>
        <w:pStyle w:val="BodyText"/>
      </w:pPr>
      <w:r>
        <w:t xml:space="preserve">In limiting shorthand, the attention weight on the initial declaration can tend toward zero as the sequence grows:</w:t>
      </w:r>
    </w:p>
    <w:p>
      <w:pPr>
        <w:pStyle w:val="BodyText"/>
      </w:pPr>
      <m:oMathPara>
        <m:oMathParaPr>
          <m:jc m:val="center"/>
        </m:oMathParaPr>
        <m:oMath>
          <m:sSub>
            <m:e>
              <m:r>
                <m:t>α</m:t>
              </m:r>
            </m:e>
            <m:sub>
              <m:r>
                <m:t>t</m:t>
              </m:r>
              <m:r>
                <m:rPr>
                  <m:sty m:val="p"/>
                </m:rPr>
                <m:t>,</m:t>
              </m:r>
              <m:r>
                <m:t>1</m:t>
              </m:r>
            </m:sub>
          </m:sSub>
          <m:r>
            <m:rPr>
              <m:sty m:val="p"/>
            </m:rPr>
            <m:t>→</m:t>
          </m:r>
          <m:r>
            <m:t>0</m:t>
          </m:r>
          <m:r>
            <m:t> </m:t>
          </m:r>
          <m:r>
            <m:rPr>
              <m:nor/>
              <m:sty m:val="p"/>
            </m:rPr>
            <m:t>as </m:t>
          </m:r>
          <m:r>
            <m:t>t</m:t>
          </m:r>
          <m:r>
            <m:rPr>
              <m:nor/>
              <m:sty m:val="p"/>
            </m:rPr>
            <m:t> grows</m:t>
          </m:r>
        </m:oMath>
      </m:oMathPara>
    </w:p>
    <w:p>
      <w:pPr>
        <w:pStyle w:val="FirstParagraph"/>
      </w:pPr>
      <w:r>
        <w:t xml:space="preserve">This section draws on research concerning context position, recency, and long-turn degradation, including</w:t>
      </w:r>
      <w:r>
        <w:t xml:space="preserve"> </w:t>
      </w:r>
      <w:hyperlink r:id="rId22">
        <w:r>
          <w:rPr>
            <w:rStyle w:val="Hyperlink"/>
          </w:rPr>
          <w:t xml:space="preserve">Liu et al.</w:t>
        </w:r>
      </w:hyperlink>
      <w:r>
        <w:t xml:space="preserve">,</w:t>
      </w:r>
      <w:r>
        <w:t xml:space="preserve"> </w:t>
      </w:r>
      <w:hyperlink r:id="rId23">
        <w:r>
          <w:rPr>
            <w:rStyle w:val="Hyperlink"/>
          </w:rPr>
          <w:t xml:space="preserve">Laban et al.</w:t>
        </w:r>
      </w:hyperlink>
      <w:r>
        <w:t xml:space="preserve">,</w:t>
      </w:r>
      <w:r>
        <w:t xml:space="preserve"> </w:t>
      </w:r>
      <w:hyperlink r:id="rId24">
        <w:r>
          <w:rPr>
            <w:rStyle w:val="Hyperlink"/>
          </w:rPr>
          <w:t xml:space="preserve">Peysakhovich and Lerer</w:t>
        </w:r>
      </w:hyperlink>
      <w:r>
        <w:t xml:space="preserve">,</w:t>
      </w:r>
      <w:r>
        <w:t xml:space="preserve"> </w:t>
      </w:r>
      <w:hyperlink r:id="rId25">
        <w:r>
          <w:rPr>
            <w:rStyle w:val="Hyperlink"/>
          </w:rPr>
          <w:t xml:space="preserve">Wu et al.</w:t>
        </w:r>
      </w:hyperlink>
      <w:r>
        <w:t xml:space="preserve">, and</w:t>
      </w:r>
      <w:r>
        <w:t xml:space="preserve"> </w:t>
      </w:r>
      <w:hyperlink r:id="rId26">
        <w:r>
          <w:rPr>
            <w:rStyle w:val="Hyperlink"/>
          </w:rPr>
          <w:t xml:space="preserve">Yang et al.</w:t>
        </w:r>
      </w:hyperlink>
      <w:r>
        <w:t xml:space="preserve">. The specific causal relationship between attention movement and TELOS fidelity remains an open empirical prediction.</w:t>
      </w:r>
    </w:p>
    <w:bookmarkEnd w:id="27"/>
    <w:bookmarkEnd w:id="28"/>
    <w:bookmarkStart w:id="32" w:name="external-fidelity-measurement"/>
    <w:p>
      <w:pPr>
        <w:pStyle w:val="Heading2"/>
      </w:pPr>
      <w:r>
        <w:t xml:space="preserve">7. External fidelity measurement</w:t>
      </w:r>
    </w:p>
    <w:p>
      <w:pPr>
        <w:pStyle w:val="FirstParagraph"/>
      </w:pPr>
      <w:r>
        <w:t xml:space="preserve">TELOS stores the declared reference outside the governed model and embeds each submitted response or action independently:</w:t>
      </w:r>
    </w:p>
    <w:p>
      <w:pPr>
        <w:pStyle w:val="BodyText"/>
      </w:pPr>
      <m:oMathPara>
        <m:oMathParaPr>
          <m:jc m:val="center"/>
        </m:oMathParaPr>
        <m:oMath>
          <m:sSub>
            <m:e>
              <m:r>
                <m:rPr>
                  <m:sty m:val="p"/>
                </m:rPr>
                <m:t>fidelity</m:t>
              </m:r>
            </m:e>
            <m:sub>
              <m:r>
                <m:t>t</m:t>
              </m:r>
            </m:sub>
          </m:sSub>
          <m:r>
            <m:rPr>
              <m:sty m:val="p"/>
            </m:rPr>
            <m:t>=</m:t>
          </m:r>
          <m:r>
            <m:rPr>
              <m:sty m:val="p"/>
            </m:rPr>
            <m:t>cos</m:t>
          </m:r>
          <m:r>
            <m:rPr>
              <m:sty m:val="p"/>
            </m:rPr>
            <m:t>(</m:t>
          </m:r>
          <m:sSub>
            <m:e>
              <m:r>
                <m:t>R</m:t>
              </m:r>
            </m:e>
            <m:sub>
              <m:r>
                <m:t>t</m:t>
              </m:r>
            </m:sub>
          </m:sSub>
          <m:r>
            <m:rPr>
              <m:sty m:val="p"/>
            </m:rPr>
            <m:t>,</m:t>
          </m:r>
          <m:sSub>
            <m:e>
              <m:r>
                <m:t>p</m:t>
              </m:r>
            </m:e>
            <m:sub>
              <m:r>
                <m:t>0</m:t>
              </m:r>
            </m:sub>
          </m:sSub>
          <m:r>
            <m:rPr>
              <m:sty m:val="p"/>
            </m:rPr>
            <m:t>)</m:t>
          </m:r>
          <m:r>
            <m:rPr>
              <m:sty m:val="p"/>
            </m:rPr>
            <m:t>=</m:t>
          </m:r>
          <m:f>
            <m:fPr>
              <m:type m:val="bar"/>
            </m:fPr>
            <m:num>
              <m:sSub>
                <m:e>
                  <m:r>
                    <m:t>R</m:t>
                  </m:r>
                </m:e>
                <m:sub>
                  <m:r>
                    <m:t>t</m:t>
                  </m:r>
                </m:sub>
              </m:sSub>
              <m:r>
                <m:rPr>
                  <m:sty m:val="p"/>
                </m:rPr>
                <m:t>⋅</m:t>
              </m:r>
              <m:sSub>
                <m:e>
                  <m:r>
                    <m:t>p</m:t>
                  </m:r>
                </m:e>
                <m:sub>
                  <m:r>
                    <m:t>0</m:t>
                  </m:r>
                </m:sub>
              </m:sSub>
            </m:num>
            <m:den>
              <m:d>
                <m:dPr>
                  <m:begChr m:val="‖"/>
                  <m:sepChr m:val=""/>
                  <m:endChr m:val="‖"/>
                  <m:grow/>
                </m:dPr>
                <m:e>
                  <m:sSub>
                    <m:e>
                      <m:r>
                        <m:t>R</m:t>
                      </m:r>
                    </m:e>
                    <m:sub>
                      <m:r>
                        <m:t>t</m:t>
                      </m:r>
                    </m:sub>
                  </m:sSub>
                </m:e>
              </m:d>
              <m:d>
                <m:dPr>
                  <m:begChr m:val="‖"/>
                  <m:sepChr m:val=""/>
                  <m:endChr m:val="‖"/>
                  <m:grow/>
                </m:dPr>
                <m:e>
                  <m:sSub>
                    <m:e>
                      <m:r>
                        <m:t>p</m:t>
                      </m:r>
                    </m:e>
                    <m:sub>
                      <m:r>
                        <m:t>0</m:t>
                      </m:r>
                    </m:sub>
                  </m:sSub>
                </m:e>
              </m:d>
            </m:den>
          </m:f>
        </m:oMath>
      </m:oMathPara>
    </w:p>
    <w:p>
      <w:pPr>
        <w:pStyle w:val="FirstParagraph"/>
      </w:pPr>
      <w:r>
        <w:t xml:space="preserve">The independent model is an L2-normalized sentence transformer in the motivating implementation, following</w:t>
      </w:r>
      <w:r>
        <w:t xml:space="preserve"> </w:t>
      </w:r>
      <w:hyperlink r:id="rId29">
        <w:r>
          <w:rPr>
            <w:rStyle w:val="Hyperlink"/>
          </w:rPr>
          <w:t xml:space="preserve">Sentence-BERT</w:t>
        </w:r>
      </w:hyperlink>
      <w:r>
        <w:t xml:space="preserve">. Production runtime inference configuration and deployment-specific tuning remain held under NDA.</w:t>
      </w:r>
    </w:p>
    <w:p>
      <w:pPr>
        <w:pStyle w:val="BodyText"/>
      </w:pPr>
      <w:r>
        <w:t xml:space="preserve">The external reference addresses persistence, not semantic perfection. Its advantages are:</w:t>
      </w:r>
    </w:p>
    <w:p>
      <w:pPr>
        <w:pStyle w:val="Compact"/>
        <w:numPr>
          <w:ilvl w:val="0"/>
          <w:numId w:val="1006"/>
        </w:numPr>
      </w:pPr>
      <w:r>
        <w:t xml:space="preserve">It does not compete with conversation tokens for attention.</w:t>
      </w:r>
    </w:p>
    <w:p>
      <w:pPr>
        <w:pStyle w:val="Compact"/>
        <w:numPr>
          <w:ilvl w:val="0"/>
          <w:numId w:val="1006"/>
        </w:numPr>
      </w:pPr>
      <w:r>
        <w:t xml:space="preserve">It does not move merely because context accumulates.</w:t>
      </w:r>
    </w:p>
    <w:p>
      <w:pPr>
        <w:pStyle w:val="Compact"/>
        <w:numPr>
          <w:ilvl w:val="0"/>
          <w:numId w:val="1006"/>
        </w:numPr>
      </w:pPr>
      <w:r>
        <w:t xml:space="preserve">It can be versioned and re-approved independently of the governed model.</w:t>
      </w:r>
    </w:p>
    <w:p>
      <w:pPr>
        <w:pStyle w:val="Compact"/>
        <w:numPr>
          <w:ilvl w:val="0"/>
          <w:numId w:val="1006"/>
        </w:numPr>
      </w:pPr>
      <w:r>
        <w:t xml:space="preserve">It supports repeated measurement across an instrumented action stream.</w:t>
      </w:r>
    </w:p>
    <w:p>
      <w:pPr>
        <w:pStyle w:val="FirstParagraph"/>
      </w:pPr>
      <w:r>
        <w:t xml:space="preserve">Its limitations are:</w:t>
      </w:r>
    </w:p>
    <w:p>
      <w:pPr>
        <w:pStyle w:val="Compact"/>
        <w:numPr>
          <w:ilvl w:val="0"/>
          <w:numId w:val="1007"/>
        </w:numPr>
      </w:pPr>
      <w:r>
        <w:t xml:space="preserve">It inherits the strengths and weaknesses of the embedding model.</w:t>
      </w:r>
    </w:p>
    <w:p>
      <w:pPr>
        <w:pStyle w:val="Compact"/>
        <w:numPr>
          <w:ilvl w:val="0"/>
          <w:numId w:val="1007"/>
        </w:numPr>
      </w:pPr>
      <w:r>
        <w:t xml:space="preserve">Cosine similarity is not itself a proof of entailment, authorization, truth, or safety.</w:t>
      </w:r>
    </w:p>
    <w:p>
      <w:pPr>
        <w:pStyle w:val="Compact"/>
        <w:numPr>
          <w:ilvl w:val="0"/>
          <w:numId w:val="1007"/>
        </w:numPr>
      </w:pPr>
      <w:r>
        <w:t xml:space="preserve">A changed embedding model changes the geometry and requires recompilation and recalibration.</w:t>
      </w:r>
    </w:p>
    <w:p>
      <w:pPr>
        <w:pStyle w:val="Compact"/>
        <w:numPr>
          <w:ilvl w:val="0"/>
          <w:numId w:val="1007"/>
        </w:numPr>
      </w:pPr>
      <w:r>
        <w:t xml:space="preserve">A weak Manifest produces a weak reference.</w:t>
      </w:r>
    </w:p>
    <w:p>
      <w:pPr>
        <w:pStyle w:val="Compact"/>
        <w:numPr>
          <w:ilvl w:val="0"/>
          <w:numId w:val="1007"/>
        </w:numPr>
      </w:pPr>
      <w:r>
        <w:t xml:space="preserve">The full production score cannot be reconstructed from the disclosed formula alone.</w:t>
      </w:r>
    </w:p>
    <w:bookmarkStart w:id="30" w:name="instantaneous-and-mean-fidelity"/>
    <w:p>
      <w:pPr>
        <w:pStyle w:val="Heading3"/>
      </w:pPr>
      <w:r>
        <w:t xml:space="preserve">7.1 Instantaneous and mean fidelity</w:t>
      </w:r>
    </w:p>
    <w:p>
      <w:pPr>
        <w:pStyle w:val="FirstParagraph"/>
      </w:pPr>
      <w:r>
        <w:t xml:space="preserve">Using cosine similarity (Cover and Thomas, 2006), instantaneous and mean fidelity are:</w:t>
      </w:r>
    </w:p>
    <w:p>
      <w:pPr>
        <w:pStyle w:val="BodyText"/>
      </w:pPr>
      <m:oMathPara>
        <m:oMathParaPr>
          <m:jc m:val="center"/>
        </m:oMathParaPr>
        <m:oMath>
          <m:sSub>
            <m:e>
              <m:r>
                <m:t>I</m:t>
              </m:r>
            </m:e>
            <m:sub>
              <m:r>
                <m:t>t</m:t>
              </m:r>
            </m:sub>
          </m:sSub>
          <m:r>
            <m:rPr>
              <m:sty m:val="p"/>
            </m:rPr>
            <m:t>=</m:t>
          </m:r>
          <m:r>
            <m:rPr>
              <m:sty m:val="p"/>
            </m:rPr>
            <m:t>cos</m:t>
          </m:r>
          <m:r>
            <m:rPr>
              <m:sty m:val="p"/>
            </m:rPr>
            <m:t>(</m:t>
          </m:r>
          <m:sSub>
            <m:e>
              <m:r>
                <m:t>x</m:t>
              </m:r>
            </m:e>
            <m:sub>
              <m:r>
                <m:t>t</m:t>
              </m:r>
            </m:sub>
          </m:sSub>
          <m:r>
            <m:rPr>
              <m:sty m:val="p"/>
            </m:rPr>
            <m:t>,</m:t>
          </m:r>
          <m:r>
            <m:t>p</m:t>
          </m:r>
          <m:r>
            <m:rPr>
              <m:sty m:val="p"/>
            </m:rPr>
            <m:t>)</m:t>
          </m:r>
          <m:r>
            <m:rPr>
              <m:sty m:val="p"/>
            </m:rPr>
            <m:t>=</m:t>
          </m:r>
          <m:f>
            <m:fPr>
              <m:type m:val="bar"/>
            </m:fPr>
            <m:num>
              <m:sSub>
                <m:e>
                  <m:r>
                    <m:t>x</m:t>
                  </m:r>
                </m:e>
                <m:sub>
                  <m:r>
                    <m:t>t</m:t>
                  </m:r>
                </m:sub>
              </m:sSub>
              <m:r>
                <m:rPr>
                  <m:sty m:val="p"/>
                </m:rPr>
                <m:t>⋅</m:t>
              </m:r>
              <m:r>
                <m:t>p</m:t>
              </m:r>
            </m:num>
            <m:den>
              <m:r>
                <m:rPr>
                  <m:sty m:val="p"/>
                </m:rPr>
                <m:t>|</m:t>
              </m:r>
              <m:sSub>
                <m:e>
                  <m:r>
                    <m:t>x</m:t>
                  </m:r>
                </m:e>
                <m:sub>
                  <m:r>
                    <m:t>t</m:t>
                  </m:r>
                </m:sub>
              </m:sSub>
              <m:r>
                <m:rPr>
                  <m:sty m:val="p"/>
                </m:rPr>
                <m:t>|</m:t>
              </m:r>
              <m:r>
                <m:rPr>
                  <m:sty m:val="p"/>
                </m:rPr>
                <m:t>⋅</m:t>
              </m:r>
              <m:r>
                <m:rPr>
                  <m:sty m:val="p"/>
                </m:rPr>
                <m:t>|</m:t>
              </m:r>
              <m:r>
                <m:t>p</m:t>
              </m:r>
              <m:r>
                <m:rPr>
                  <m:sty m:val="p"/>
                </m:rPr>
                <m:t>|</m:t>
              </m:r>
            </m:den>
          </m:f>
          <m:r>
            <m:t>  </m:t>
          </m:r>
          <m:r>
            <m:t>F</m:t>
          </m:r>
          <m:r>
            <m:rPr>
              <m:sty m:val="p"/>
            </m:rPr>
            <m:t>=</m:t>
          </m:r>
          <m:f>
            <m:fPr>
              <m:type m:val="bar"/>
            </m:fPr>
            <m:num>
              <m:r>
                <m:t>1</m:t>
              </m:r>
            </m:num>
            <m:den>
              <m:r>
                <m:t>T</m:t>
              </m:r>
            </m:den>
          </m:f>
          <m:nary>
            <m:naryPr>
              <m:chr m:val="∑"/>
              <m:limLoc m:val="undOvr"/>
              <m:subHide m:val="off"/>
              <m:supHide m:val="off"/>
            </m:naryPr>
            <m:sub>
              <m:r>
                <m:t>t</m:t>
              </m:r>
              <m:r>
                <m:rPr>
                  <m:sty m:val="p"/>
                </m:rPr>
                <m:t>=</m:t>
              </m:r>
              <m:r>
                <m:t>1</m:t>
              </m:r>
            </m:sub>
            <m:sup>
              <m:r>
                <m:t>T</m:t>
              </m:r>
            </m:sup>
            <m:e>
              <m:sSub>
                <m:e>
                  <m:r>
                    <m:t>I</m:t>
                  </m:r>
                </m:e>
                <m:sub>
                  <m:r>
                    <m:t>t</m:t>
                  </m:r>
                </m:sub>
              </m:sSub>
            </m:e>
          </m:nary>
        </m:oMath>
      </m:oMathPara>
    </w:p>
    <w:p>
      <w:pPr>
        <w:pStyle w:val="FirstParagraph"/>
      </w:pPr>
      <w:r>
        <w:t xml:space="preserve">where</w:t>
      </w:r>
      <w:r>
        <w:t xml:space="preserve"> </w:t>
      </w:r>
      <m:oMath>
        <m:sSub>
          <m:e>
            <m:r>
              <m:t>I</m:t>
            </m:r>
          </m:e>
          <m:sub>
            <m:r>
              <m:t>t</m:t>
            </m:r>
          </m:sub>
        </m:sSub>
      </m:oMath>
      <w:r>
        <w:t xml:space="preserve"> </w:t>
      </w:r>
      <w:r>
        <w:t xml:space="preserve">is instantaneous fidelity at turn</w:t>
      </w:r>
      <w:r>
        <w:t xml:space="preserve"> </w:t>
      </w:r>
      <m:oMath>
        <m:r>
          <m:t>t</m:t>
        </m:r>
      </m:oMath>
      <w:r>
        <w:t xml:space="preserve">,</w:t>
      </w:r>
      <w:r>
        <w:t xml:space="preserve"> </w:t>
      </w:r>
      <m:oMath>
        <m:r>
          <m:t>F</m:t>
        </m:r>
      </m:oMath>
      <w:r>
        <w:t xml:space="preserve"> </w:t>
      </w:r>
      <w:r>
        <w:t xml:space="preserve">is mean fidelity over</w:t>
      </w:r>
      <w:r>
        <w:t xml:space="preserve"> </w:t>
      </w:r>
      <m:oMath>
        <m:r>
          <m:t>T</m:t>
        </m:r>
      </m:oMath>
      <w:r>
        <w:t xml:space="preserve"> </w:t>
      </w:r>
      <w:r>
        <w:t xml:space="preserve">turns,</w:t>
      </w:r>
      <w:r>
        <w:t xml:space="preserve"> </w:t>
      </w:r>
      <m:oMath>
        <m:sSub>
          <m:e>
            <m:r>
              <m:t>x</m:t>
            </m:r>
          </m:e>
          <m:sub>
            <m:r>
              <m:t>t</m:t>
            </m:r>
          </m:sub>
        </m:sSub>
      </m:oMath>
      <w:r>
        <w:t xml:space="preserve"> </w:t>
      </w:r>
      <w:r>
        <w:t xml:space="preserve">is</w:t>
      </w:r>
      <w:r>
        <w:t xml:space="preserve"> </w:t>
      </w:r>
      <w:r>
        <w:t xml:space="preserve">the response embedding, and</w:t>
      </w:r>
      <w:r>
        <w:t xml:space="preserve"> </w:t>
      </w:r>
      <m:oMath>
        <m:r>
          <m:t>p</m:t>
        </m:r>
      </m:oMath>
      <w:r>
        <w:t xml:space="preserve"> </w:t>
      </w:r>
      <w:r>
        <w:t xml:space="preserve">is the declared purpose vector. Every turn produces quantified</w:t>
      </w:r>
      <w:r>
        <w:t xml:space="preserve"> </w:t>
      </w:r>
      <w:r>
        <w:t xml:space="preserve">adherence, and the stream supports statistical tracking through mean, variance, and control</w:t>
      </w:r>
      <w:r>
        <w:t xml:space="preserve"> </w:t>
      </w:r>
      <w:r>
        <w:t xml:space="preserve">limits, threshold-based surfacing, and audit evidence.</w:t>
      </w:r>
    </w:p>
    <w:bookmarkEnd w:id="30"/>
    <w:bookmarkStart w:id="31" w:name="X40642fbad3cc6e68cb1039b46835ca8e1bcd649"/>
    <w:p>
      <w:pPr>
        <w:pStyle w:val="Heading3"/>
      </w:pPr>
      <w:r>
        <w:t xml:space="preserve">7.2 Primacy State, for conversational governance</w:t>
      </w:r>
    </w:p>
    <w:p>
      <w:pPr>
        <w:pStyle w:val="FirstParagraph"/>
      </w:pPr>
      <w:r>
        <w:t xml:space="preserve">For conversational governance, the Primacy State measures the degree to which user and system</w:t>
      </w:r>
      <w:r>
        <w:t xml:space="preserve"> </w:t>
      </w:r>
      <w:r>
        <w:t xml:space="preserve">converge on the declared anchor:</w:t>
      </w:r>
    </w:p>
    <w:p>
      <w:pPr>
        <w:pStyle w:val="BodyText"/>
      </w:pPr>
      <m:oMathPara>
        <m:oMathParaPr>
          <m:jc m:val="center"/>
        </m:oMathParaPr>
        <m:oMath>
          <m:r>
            <m:t>P</m:t>
          </m:r>
          <m:r>
            <m:t>S</m:t>
          </m:r>
          <m:r>
            <m:rPr>
              <m:sty m:val="p"/>
            </m:rPr>
            <m:t>=</m:t>
          </m:r>
          <m:sSub>
            <m:e>
              <m:r>
                <m:t>ρ</m:t>
              </m:r>
            </m:e>
            <m:sub>
              <m:r>
                <m:t>P</m:t>
              </m:r>
              <m:r>
                <m:t>A</m:t>
              </m:r>
            </m:sub>
          </m:sSub>
          <m:r>
            <m:rPr>
              <m:sty m:val="p"/>
            </m:rPr>
            <m:t>×</m:t>
          </m:r>
          <m:f>
            <m:fPr>
              <m:type m:val="bar"/>
            </m:fPr>
            <m:num>
              <m:r>
                <m:t>2</m:t>
              </m:r>
              <m:r>
                <m:rPr>
                  <m:sty m:val="p"/>
                </m:rPr>
                <m:t>×</m:t>
              </m:r>
              <m:sSub>
                <m:e>
                  <m:r>
                    <m:t>F</m:t>
                  </m:r>
                </m:e>
                <m:sub>
                  <m:r>
                    <m:t>u</m:t>
                  </m:r>
                  <m:r>
                    <m:t>s</m:t>
                  </m:r>
                  <m:r>
                    <m:t>e</m:t>
                  </m:r>
                  <m:r>
                    <m:t>r</m:t>
                  </m:r>
                </m:sub>
              </m:sSub>
              <m:r>
                <m:rPr>
                  <m:sty m:val="p"/>
                </m:rPr>
                <m:t>×</m:t>
              </m:r>
              <m:sSub>
                <m:e>
                  <m:r>
                    <m:t>F</m:t>
                  </m:r>
                </m:e>
                <m:sub>
                  <m:r>
                    <m:t>A</m:t>
                  </m:r>
                  <m:r>
                    <m:t>I</m:t>
                  </m:r>
                </m:sub>
              </m:sSub>
            </m:num>
            <m:den>
              <m:sSub>
                <m:e>
                  <m:r>
                    <m:t>F</m:t>
                  </m:r>
                </m:e>
                <m:sub>
                  <m:r>
                    <m:t>u</m:t>
                  </m:r>
                  <m:r>
                    <m:t>s</m:t>
                  </m:r>
                  <m:r>
                    <m:t>e</m:t>
                  </m:r>
                  <m:r>
                    <m:t>r</m:t>
                  </m:r>
                </m:sub>
              </m:sSub>
              <m:r>
                <m:rPr>
                  <m:sty m:val="p"/>
                </m:rPr>
                <m:t>+</m:t>
              </m:r>
              <m:sSub>
                <m:e>
                  <m:r>
                    <m:t>F</m:t>
                  </m:r>
                </m:e>
                <m:sub>
                  <m:r>
                    <m:t>A</m:t>
                  </m:r>
                  <m:r>
                    <m:t>I</m:t>
                  </m:r>
                </m:sub>
              </m:sSub>
            </m:den>
          </m:f>
        </m:oMath>
      </m:oMathPara>
    </w:p>
    <w:p>
      <w:pPr>
        <w:pStyle w:val="FirstParagraph"/>
      </w:pPr>
      <w:r>
        <w:t xml:space="preserve">where</w:t>
      </w:r>
      <w:r>
        <w:t xml:space="preserve"> </w:t>
      </w:r>
      <m:oMath>
        <m:sSub>
          <m:e>
            <m:r>
              <m:t>ρ</m:t>
            </m:r>
          </m:e>
          <m:sub>
            <m:r>
              <m:t>P</m:t>
            </m:r>
            <m:r>
              <m:t>A</m:t>
            </m:r>
          </m:sub>
        </m:sSub>
      </m:oMath>
      <w:r>
        <w:t xml:space="preserve"> </w:t>
      </w:r>
      <w:r>
        <w:t xml:space="preserve">is anchor strength, meaning basin membership confidence,</w:t>
      </w:r>
      <w:r>
        <w:t xml:space="preserve"> </w:t>
      </w:r>
      <m:oMath>
        <m:sSub>
          <m:e>
            <m:r>
              <m:t>F</m:t>
            </m:r>
          </m:e>
          <m:sub>
            <m:r>
              <m:t>u</m:t>
            </m:r>
            <m:r>
              <m:t>s</m:t>
            </m:r>
            <m:r>
              <m:t>e</m:t>
            </m:r>
            <m:r>
              <m:t>r</m:t>
            </m:r>
          </m:sub>
        </m:sSub>
      </m:oMath>
      <w:r>
        <w:t xml:space="preserve"> </w:t>
      </w:r>
      <w:r>
        <w:t xml:space="preserve">and</w:t>
      </w:r>
      <w:r>
        <w:t xml:space="preserve"> </w:t>
      </w:r>
      <m:oMath>
        <m:sSub>
          <m:e>
            <m:r>
              <m:t>F</m:t>
            </m:r>
          </m:e>
          <m:sub>
            <m:r>
              <m:t>A</m:t>
            </m:r>
            <m:r>
              <m:t>I</m:t>
            </m:r>
          </m:sub>
        </m:sSub>
      </m:oMath>
      <w:r>
        <w:t xml:space="preserve"> </w:t>
      </w:r>
      <w:r>
        <w:t xml:space="preserve">are the two fidelities, and the harmonic mean ensures</w:t>
      </w:r>
      <w:r>
        <w:t xml:space="preserve"> </w:t>
      </w:r>
      <m:oMath>
        <m:r>
          <m:t>P</m:t>
        </m:r>
        <m:r>
          <m:t>S</m:t>
        </m:r>
      </m:oMath>
      <w:r>
        <w:t xml:space="preserve"> </w:t>
      </w:r>
      <w:r>
        <w:t xml:space="preserve">is low when either signal</w:t>
      </w:r>
      <w:r>
        <w:t xml:space="preserve"> </w:t>
      </w:r>
      <w:r>
        <w:t xml:space="preserve">diverges. This two-signal convergence model is specific to conversational governance. In</w:t>
      </w:r>
      <w:r>
        <w:t xml:space="preserve"> </w:t>
      </w:r>
      <w:r>
        <w:t xml:space="preserve">agentic governance, where the specification is fixed rather than a convergence target, Primacy</w:t>
      </w:r>
      <w:r>
        <w:t xml:space="preserve"> </w:t>
      </w:r>
      <w:r>
        <w:t xml:space="preserve">State is replaced by the composite measures of Section 10.1.</w:t>
      </w:r>
    </w:p>
    <w:bookmarkEnd w:id="31"/>
    <w:bookmarkEnd w:id="32"/>
    <w:bookmarkStart w:id="35" w:name="control-and-attractor-formalisms"/>
    <w:p>
      <w:pPr>
        <w:pStyle w:val="Heading2"/>
      </w:pPr>
      <w:r>
        <w:t xml:space="preserve">8. Control and attractor formalisms</w:t>
      </w:r>
    </w:p>
    <w:bookmarkStart w:id="33" w:name="fixed-reference-and-basin"/>
    <w:p>
      <w:pPr>
        <w:pStyle w:val="Heading3"/>
      </w:pPr>
      <w:r>
        <w:t xml:space="preserve">8.1 Fixed reference and basin</w:t>
      </w:r>
    </w:p>
    <w:p>
      <w:pPr>
        <w:pStyle w:val="FirstParagraph"/>
      </w:pPr>
      <w:r>
        <w:t xml:space="preserve">The attractor illustration describes the fixed reference as</w:t>
      </w:r>
      <w:r>
        <w:t xml:space="preserve"> </w:t>
      </w:r>
      <m:oMath>
        <m:acc>
          <m:accPr>
            <m:chr m:val="̂"/>
          </m:accPr>
          <m:e>
            <m:r>
              <m:t>a</m:t>
            </m:r>
          </m:e>
        </m:acc>
      </m:oMath>
      <w:r>
        <w:t xml:space="preserve"> </w:t>
      </w:r>
      <w:r>
        <w:t xml:space="preserve">with a basin of attraction:</w:t>
      </w:r>
    </w:p>
    <w:p>
      <w:pPr>
        <w:pStyle w:val="BodyText"/>
      </w:pPr>
      <m:oMathPara>
        <m:oMathParaPr>
          <m:jc m:val="center"/>
        </m:oMathParaPr>
        <m:oMath>
          <m:r>
            <m:t>B</m:t>
          </m:r>
          <m:r>
            <m:rPr>
              <m:sty m:val="p"/>
            </m:rPr>
            <m:t>(</m:t>
          </m:r>
          <m:acc>
            <m:accPr>
              <m:chr m:val="̂"/>
            </m:accPr>
            <m:e>
              <m:r>
                <m:t>a</m:t>
              </m:r>
            </m:e>
          </m:acc>
          <m:r>
            <m:rPr>
              <m:sty m:val="p"/>
            </m:rPr>
            <m:t>,</m:t>
          </m:r>
          <m:r>
            <m:t>r</m:t>
          </m:r>
          <m:r>
            <m:rPr>
              <m:sty m:val="p"/>
            </m:rPr>
            <m:t>)</m:t>
          </m:r>
          <m:r>
            <m:rPr>
              <m:sty m:val="p"/>
            </m:rPr>
            <m:t>=</m:t>
          </m:r>
          <m:r>
            <m:rPr>
              <m:sty m:val="p"/>
            </m:rPr>
            <m:t>{</m:t>
          </m:r>
          <m:r>
            <m:t>x</m:t>
          </m:r>
          <m:r>
            <m:rPr>
              <m:sty m:val="p"/>
            </m:rPr>
            <m:t>∈</m:t>
          </m:r>
          <m:sSup>
            <m:e>
              <m:r>
                <m:rPr>
                  <m:scr m:val="double-struck"/>
                  <m:sty m:val="p"/>
                </m:rPr>
                <m:t>R</m:t>
              </m:r>
            </m:e>
            <m:sup>
              <m:r>
                <m:t>d</m:t>
              </m:r>
            </m:sup>
          </m:sSup>
          <m:r>
            <m:rPr>
              <m:sty m:val="p"/>
            </m:rPr>
            <m:t>:</m:t>
          </m:r>
          <m:r>
            <m:rPr>
              <m:sty m:val="p"/>
            </m:rPr>
            <m:t>|</m:t>
          </m:r>
          <m:r>
            <m:t>x</m:t>
          </m:r>
          <m:r>
            <m:rPr>
              <m:sty m:val="p"/>
            </m:rPr>
            <m:t>−</m:t>
          </m:r>
          <m:acc>
            <m:accPr>
              <m:chr m:val="̂"/>
            </m:accPr>
            <m:e>
              <m:r>
                <m:t>a</m:t>
              </m:r>
            </m:e>
          </m:acc>
          <m:r>
            <m:rPr>
              <m:sty m:val="p"/>
            </m:rPr>
            <m:t>|</m:t>
          </m:r>
          <m:r>
            <m:rPr>
              <m:sty m:val="p"/>
            </m:rPr>
            <m:t>≤</m:t>
          </m:r>
          <m:r>
            <m:t>r</m:t>
          </m:r>
          <m:r>
            <m:rPr>
              <m:sty m:val="p"/>
            </m:rPr>
            <m:t>}</m:t>
          </m:r>
        </m:oMath>
      </m:oMathPara>
    </w:p>
    <w:p>
      <w:pPr>
        <w:pStyle w:val="FirstParagraph"/>
      </w:pPr>
      <w:r>
        <w:t xml:space="preserve">The basin radius is calculated as:</w:t>
      </w:r>
    </w:p>
    <w:p>
      <w:pPr>
        <w:pStyle w:val="BodyText"/>
      </w:pPr>
      <m:oMathPara>
        <m:oMathParaPr>
          <m:jc m:val="center"/>
        </m:oMathParaPr>
        <m:oMath>
          <m:r>
            <m:t>r</m:t>
          </m:r>
          <m:r>
            <m:rPr>
              <m:sty m:val="p"/>
            </m:rPr>
            <m:t>=</m:t>
          </m:r>
          <m:f>
            <m:fPr>
              <m:type m:val="bar"/>
            </m:fPr>
            <m:num>
              <m:r>
                <m:t>1</m:t>
              </m:r>
            </m:num>
            <m:den>
              <m:r>
                <m:rPr>
                  <m:sty m:val="p"/>
                </m:rPr>
                <m:t>max</m:t>
              </m:r>
              <m:r>
                <m:rPr>
                  <m:sty m:val="p"/>
                </m:rPr>
                <m:t>(</m:t>
              </m:r>
              <m:r>
                <m:t>ρ</m:t>
              </m:r>
              <m:r>
                <m:rPr>
                  <m:sty m:val="p"/>
                </m:rPr>
                <m:t>,</m:t>
              </m:r>
              <m:r>
                <m:t>0.25</m:t>
              </m:r>
              <m:r>
                <m:rPr>
                  <m:sty m:val="p"/>
                </m:rPr>
                <m:t>)</m:t>
              </m:r>
            </m:den>
          </m:f>
          <m:r>
            <m:t> </m:t>
          </m:r>
          <m:r>
            <m:rPr>
              <m:nor/>
              <m:sty m:val="p"/>
            </m:rPr>
            <m:t>where</m:t>
          </m:r>
          <m:r>
            <m:t> </m:t>
          </m:r>
          <m:r>
            <m:t>ρ</m:t>
          </m:r>
          <m:r>
            <m:rPr>
              <m:sty m:val="p"/>
            </m:rPr>
            <m:t>=</m:t>
          </m:r>
          <m:r>
            <m:t>1</m:t>
          </m:r>
          <m:r>
            <m:rPr>
              <m:sty m:val="p"/>
            </m:rPr>
            <m:t>−</m:t>
          </m:r>
          <m:r>
            <m:t>τ</m:t>
          </m:r>
        </m:oMath>
      </m:oMathPara>
    </w:p>
    <w:p>
      <w:pPr>
        <w:pStyle w:val="FirstParagraph"/>
      </w:pPr>
      <w:r>
        <w:t xml:space="preserve">where</w:t>
      </w:r>
      <w:r>
        <w:t xml:space="preserve"> </w:t>
      </w:r>
      <m:oMath>
        <m:r>
          <m:t>τ</m:t>
        </m:r>
        <m:r>
          <m:rPr>
            <m:sty m:val="p"/>
          </m:rPr>
          <m:t>∈</m:t>
        </m:r>
        <m:r>
          <m:rPr>
            <m:sty m:val="p"/>
          </m:rPr>
          <m:t>[</m:t>
        </m:r>
        <m:r>
          <m:t>0</m:t>
        </m:r>
        <m:r>
          <m:rPr>
            <m:sty m:val="p"/>
          </m:rPr>
          <m:t>,</m:t>
        </m:r>
        <m:r>
          <m:t>1</m:t>
        </m:r>
        <m:r>
          <m:rPr>
            <m:sty m:val="p"/>
          </m:rPr>
          <m:t>]</m:t>
        </m:r>
      </m:oMath>
      <w:r>
        <w:t xml:space="preserve"> </w:t>
      </w:r>
      <w:r>
        <w:t xml:space="preserve">is the tolerance parameter, so that lower tolerance produces a tighter</w:t>
      </w:r>
      <w:r>
        <w:t xml:space="preserve"> </w:t>
      </w:r>
      <w:r>
        <w:t xml:space="preserve">basin. The numerator was calibrated from the theoretical value of 2.0 to the operational value</w:t>
      </w:r>
      <w:r>
        <w:t xml:space="preserve"> </w:t>
      </w:r>
      <w:r>
        <w:t xml:space="preserve">of 1.0 during production testing, where the larger radius produced basins too permissive for</w:t>
      </w:r>
      <w:r>
        <w:t xml:space="preserve"> </w:t>
      </w:r>
      <w:r>
        <w:t xml:space="preserve">meaningful governance. At</w:t>
      </w:r>
      <w:r>
        <w:t xml:space="preserve"> </w:t>
      </w:r>
      <m:oMath>
        <m:r>
          <m:t>τ</m:t>
        </m:r>
        <m:r>
          <m:rPr>
            <m:sty m:val="p"/>
          </m:rPr>
          <m:t>=</m:t>
        </m:r>
        <m:r>
          <m:t>0.9</m:t>
        </m:r>
      </m:oMath>
      <w:r>
        <w:t xml:space="preserve">, permissive,</w:t>
      </w:r>
      <w:r>
        <w:t xml:space="preserve"> </w:t>
      </w:r>
      <m:oMath>
        <m:r>
          <m:t>ρ</m:t>
        </m:r>
        <m:r>
          <m:rPr>
            <m:sty m:val="p"/>
          </m:rPr>
          <m:t>=</m:t>
        </m:r>
        <m:r>
          <m:t>0.25</m:t>
        </m:r>
      </m:oMath>
      <w:r>
        <w:t xml:space="preserve"> </w:t>
      </w:r>
      <w:r>
        <w:t xml:space="preserve">gives</w:t>
      </w:r>
      <w:r>
        <w:t xml:space="preserve"> </w:t>
      </w:r>
      <m:oMath>
        <m:r>
          <m:t>r</m:t>
        </m:r>
        <m:r>
          <m:rPr>
            <m:sty m:val="p"/>
          </m:rPr>
          <m:t>=</m:t>
        </m:r>
        <m:r>
          <m:t>4.0</m:t>
        </m:r>
      </m:oMath>
      <w:r>
        <w:t xml:space="preserve">. At</w:t>
      </w:r>
      <w:r>
        <w:t xml:space="preserve"> </w:t>
      </w:r>
      <m:oMath>
        <m:r>
          <m:t>τ</m:t>
        </m:r>
        <m:r>
          <m:rPr>
            <m:sty m:val="p"/>
          </m:rPr>
          <m:t>=</m:t>
        </m:r>
        <m:r>
          <m:t>0.05</m:t>
        </m:r>
      </m:oMath>
      <w:r>
        <w:t xml:space="preserve">, strict,</w:t>
      </w:r>
      <w:r>
        <w:t xml:space="preserve"> </w:t>
      </w:r>
      <m:oMath>
        <m:r>
          <m:t>ρ</m:t>
        </m:r>
        <m:r>
          <m:rPr>
            <m:sty m:val="p"/>
          </m:rPr>
          <m:t>=</m:t>
        </m:r>
        <m:r>
          <m:t>0.95</m:t>
        </m:r>
      </m:oMath>
      <w:r>
        <w:t xml:space="preserve"> </w:t>
      </w:r>
      <w:r>
        <w:t xml:space="preserve">gives</w:t>
      </w:r>
      <w:r>
        <w:t xml:space="preserve"> </w:t>
      </w:r>
      <m:oMath>
        <m:r>
          <m:t>r</m:t>
        </m:r>
        <m:r>
          <m:rPr>
            <m:sty m:val="p"/>
          </m:rPr>
          <m:t>≈</m:t>
        </m:r>
        <m:r>
          <m:t>1.05</m:t>
        </m:r>
      </m:oMath>
      <w:r>
        <w:t xml:space="preserve">. Throughout this specification</w:t>
      </w:r>
      <w:r>
        <w:t xml:space="preserve"> </w:t>
      </w:r>
      <m:oMath>
        <m:r>
          <m:t>τ</m:t>
        </m:r>
      </m:oMath>
      <w:r>
        <w:t xml:space="preserve"> </w:t>
      </w:r>
      <w:r>
        <w:t xml:space="preserve">plays exactly this tolerance role and no other.</w:t>
      </w:r>
    </w:p>
    <w:p>
      <w:pPr>
        <w:pStyle w:val="BodyText"/>
      </w:pPr>
      <w:r>
        <w:t xml:space="preserve">Departure is measured as normalized distance from the reference, and the response magnitude</w:t>
      </w:r>
      <w:r>
        <w:t xml:space="preserve"> </w:t>
      </w:r>
      <w:r>
        <w:t xml:space="preserve">grows proportionally with it:</w:t>
      </w:r>
    </w:p>
    <w:p>
      <w:pPr>
        <w:pStyle w:val="BodyText"/>
      </w:pPr>
      <m:oMathPara>
        <m:oMathParaPr>
          <m:jc m:val="center"/>
        </m:oMathParaPr>
        <m:oMath>
          <m:r>
            <m:t>F</m:t>
          </m:r>
          <m:r>
            <m:rPr>
              <m:sty m:val="p"/>
            </m:rPr>
            <m:t>=</m:t>
          </m:r>
          <m:r>
            <m:t>K</m:t>
          </m:r>
          <m:r>
            <m:rPr>
              <m:sty m:val="p"/>
            </m:rPr>
            <m:t>⋅</m:t>
          </m:r>
          <m:r>
            <m:t>e</m:t>
          </m:r>
          <m:r>
            <m:rPr>
              <m:sty m:val="p"/>
            </m:rPr>
            <m:t>,</m:t>
          </m:r>
          <m:r>
            <m:t> </m:t>
          </m:r>
          <m:r>
            <m:rPr>
              <m:nor/>
              <m:sty m:val="p"/>
            </m:rPr>
            <m:t>where</m:t>
          </m:r>
          <m:r>
            <m:t> </m:t>
          </m:r>
          <m:r>
            <m:t>e</m:t>
          </m:r>
          <m:r>
            <m:rPr>
              <m:sty m:val="p"/>
            </m:rPr>
            <m:t>=</m:t>
          </m:r>
          <m:f>
            <m:fPr>
              <m:type m:val="bar"/>
            </m:fPr>
            <m:num>
              <m:r>
                <m:rPr>
                  <m:sty m:val="p"/>
                </m:rPr>
                <m:t>|</m:t>
              </m:r>
              <m:r>
                <m:t>x</m:t>
              </m:r>
              <m:r>
                <m:rPr>
                  <m:sty m:val="p"/>
                </m:rPr>
                <m:t>−</m:t>
              </m:r>
              <m:acc>
                <m:accPr>
                  <m:chr m:val="̂"/>
                </m:accPr>
                <m:e>
                  <m:r>
                    <m:t>a</m:t>
                  </m:r>
                </m:e>
              </m:acc>
              <m:r>
                <m:rPr>
                  <m:sty m:val="p"/>
                </m:rPr>
                <m:t>|</m:t>
              </m:r>
            </m:num>
            <m:den>
              <m:r>
                <m:t>r</m:t>
              </m:r>
            </m:den>
          </m:f>
        </m:oMath>
      </m:oMathPara>
    </w:p>
    <w:p>
      <w:pPr>
        <w:pStyle w:val="FirstParagraph"/>
      </w:pPr>
      <w:r>
        <w:t xml:space="preserve">In the idealized actuated case the basin admits a Lyapunov function</w:t>
      </w:r>
    </w:p>
    <w:p>
      <w:pPr>
        <w:pStyle w:val="BodyText"/>
      </w:pPr>
      <m:oMathPara>
        <m:oMathParaPr>
          <m:jc m:val="center"/>
        </m:oMathParaPr>
        <m:oMath>
          <m:r>
            <m:t>V</m:t>
          </m:r>
          <m:r>
            <m:rPr>
              <m:sty m:val="p"/>
            </m:rPr>
            <m:t>(</m:t>
          </m:r>
          <m:r>
            <m:t>x</m:t>
          </m:r>
          <m:r>
            <m:rPr>
              <m:sty m:val="p"/>
            </m:rPr>
            <m:t>)</m:t>
          </m:r>
          <m:r>
            <m:rPr>
              <m:sty m:val="p"/>
            </m:rPr>
            <m:t>=</m:t>
          </m:r>
          <m:f>
            <m:fPr>
              <m:type m:val="bar"/>
            </m:fPr>
            <m:num>
              <m:r>
                <m:t>1</m:t>
              </m:r>
            </m:num>
            <m:den>
              <m:r>
                <m:t>2</m:t>
              </m:r>
            </m:den>
          </m:f>
          <m:r>
            <m:rPr>
              <m:sty m:val="p"/>
            </m:rPr>
            <m:t>|</m:t>
          </m:r>
          <m:r>
            <m:t>x</m:t>
          </m:r>
          <m:r>
            <m:rPr>
              <m:sty m:val="p"/>
            </m:rPr>
            <m:t>−</m:t>
          </m:r>
          <m:acc>
            <m:accPr>
              <m:chr m:val="̂"/>
            </m:accPr>
            <m:e>
              <m:r>
                <m:t>a</m:t>
              </m:r>
            </m:e>
          </m:acc>
          <m:sSup>
            <m:e>
              <m:r>
                <m:rPr>
                  <m:sty m:val="p"/>
                </m:rPr>
                <m:t>|</m:t>
              </m:r>
            </m:e>
            <m:sup>
              <m:r>
                <m:t>2</m:t>
              </m:r>
            </m:sup>
          </m:sSup>
        </m:oMath>
      </m:oMathPara>
    </w:p>
    <w:p>
      <w:pPr>
        <w:pStyle w:val="FirstParagraph"/>
      </w:pPr>
      <w:r>
        <w:t xml:space="preserve">whose derivative under proportional correction is</w:t>
      </w:r>
    </w:p>
    <w:p>
      <w:pPr>
        <w:pStyle w:val="BodyText"/>
      </w:pPr>
      <m:oMathPara>
        <m:oMathParaPr>
          <m:jc m:val="center"/>
        </m:oMathParaPr>
        <m:oMath>
          <m:acc>
            <m:accPr>
              <m:chr m:val="̇"/>
            </m:accPr>
            <m:e>
              <m:r>
                <m:t>V</m:t>
              </m:r>
            </m:e>
          </m:acc>
          <m:r>
            <m:rPr>
              <m:sty m:val="p"/>
            </m:rPr>
            <m:t>(</m:t>
          </m:r>
          <m:r>
            <m:t>x</m:t>
          </m:r>
          <m:r>
            <m:rPr>
              <m:sty m:val="p"/>
            </m:rPr>
            <m:t>)</m:t>
          </m:r>
          <m:r>
            <m:rPr>
              <m:sty m:val="p"/>
            </m:rPr>
            <m:t>=</m:t>
          </m:r>
          <m:r>
            <m:rPr>
              <m:sty m:val="p"/>
            </m:rPr>
            <m:t>−</m:t>
          </m:r>
          <m:r>
            <m:t>K</m:t>
          </m:r>
          <m:r>
            <m:rPr>
              <m:sty m:val="p"/>
            </m:rPr>
            <m:t>|</m:t>
          </m:r>
          <m:r>
            <m:t>x</m:t>
          </m:r>
          <m:r>
            <m:rPr>
              <m:sty m:val="p"/>
            </m:rPr>
            <m:t>−</m:t>
          </m:r>
          <m:acc>
            <m:accPr>
              <m:chr m:val="̂"/>
            </m:accPr>
            <m:e>
              <m:r>
                <m:t>a</m:t>
              </m:r>
            </m:e>
          </m:acc>
          <m:sSup>
            <m:e>
              <m:r>
                <m:rPr>
                  <m:sty m:val="p"/>
                </m:rPr>
                <m:t>|</m:t>
              </m:r>
            </m:e>
            <m:sup>
              <m:r>
                <m:t>2</m:t>
              </m:r>
            </m:sup>
          </m:sSup>
          <m:r>
            <m:rPr>
              <m:sty m:val="p"/>
            </m:rPr>
            <m:t>&lt;</m:t>
          </m:r>
          <m:r>
            <m:t>0</m:t>
          </m:r>
        </m:oMath>
      </m:oMathPara>
    </w:p>
    <w:p>
      <w:pPr>
        <w:pStyle w:val="FirstParagraph"/>
      </w:pPr>
      <w:r>
        <w:t xml:space="preserve">which is the formal statement of why a fixed reference gives stable meaning to distance. The</w:t>
      </w:r>
      <w:r>
        <w:t xml:space="preserve"> </w:t>
      </w:r>
      <w:r>
        <w:t xml:space="preserve">limits of that statement for the shipped observation layer are set out immediately below.</w:t>
      </w:r>
    </w:p>
    <w:bookmarkEnd w:id="33"/>
    <w:bookmarkStart w:id="34" w:name="boundary-of-the-analogy"/>
    <w:p>
      <w:pPr>
        <w:pStyle w:val="Heading3"/>
      </w:pPr>
      <w:r>
        <w:t xml:space="preserve">8.2 Boundary of the analogy</w:t>
      </w:r>
    </w:p>
    <w:p>
      <w:pPr>
        <w:pStyle w:val="FirstParagraph"/>
      </w:pPr>
      <w:r>
        <w:t xml:space="preserve">Classical stability analysis applies to systems that actuate state back toward a reference. The current TELOS layer is observation-only and operates on discrete embeddings produced by an external model. It measures and surfaces departures. It does not itself drive the governed model state back toward the anchor.</w:t>
      </w:r>
    </w:p>
    <w:p>
      <w:pPr>
        <w:pStyle w:val="BodyText"/>
      </w:pPr>
      <w:r>
        <w:t xml:space="preserve">No closed-loop stability guarantee is claimed for the current observation layer. Any Lyapunov argument applies only to an idealized actuated case. The contribution is not new control mathematics. It is the application of fixed-reference measurement discipline to runtime semantic governance.</w:t>
      </w:r>
    </w:p>
    <w:bookmarkEnd w:id="34"/>
    <w:bookmarkEnd w:id="35"/>
    <w:bookmarkStart w:id="39" w:name="statistical-process-control-discipline"/>
    <w:p>
      <w:pPr>
        <w:pStyle w:val="Heading2"/>
      </w:pPr>
      <w:r>
        <w:t xml:space="preserve">9. Statistical process control discipline</w:t>
      </w:r>
    </w:p>
    <w:bookmarkStart w:id="36" w:name="numeric-action-stream"/>
    <w:p>
      <w:pPr>
        <w:pStyle w:val="Heading3"/>
      </w:pPr>
      <w:r>
        <w:t xml:space="preserve">9.1 Numeric action stream</w:t>
      </w:r>
    </w:p>
    <w:p>
      <w:pPr>
        <w:pStyle w:val="FirstParagraph"/>
      </w:pPr>
      <w:r>
        <w:t xml:space="preserve">Each submitted action produces a numeric measurement stream. That permits tracking of:</w:t>
      </w:r>
    </w:p>
    <w:p>
      <w:pPr>
        <w:pStyle w:val="Compact"/>
        <w:numPr>
          <w:ilvl w:val="0"/>
          <w:numId w:val="1008"/>
        </w:numPr>
      </w:pPr>
      <w:r>
        <w:t xml:space="preserve">Central tendency</w:t>
      </w:r>
    </w:p>
    <w:p>
      <w:pPr>
        <w:pStyle w:val="Compact"/>
        <w:numPr>
          <w:ilvl w:val="0"/>
          <w:numId w:val="1008"/>
        </w:numPr>
      </w:pPr>
      <w:r>
        <w:t xml:space="preserve">Variation</w:t>
      </w:r>
    </w:p>
    <w:p>
      <w:pPr>
        <w:pStyle w:val="Compact"/>
        <w:numPr>
          <w:ilvl w:val="0"/>
          <w:numId w:val="1008"/>
        </w:numPr>
      </w:pPr>
      <w:r>
        <w:t xml:space="preserve">Configured display bands</w:t>
      </w:r>
    </w:p>
    <w:p>
      <w:pPr>
        <w:pStyle w:val="Compact"/>
        <w:numPr>
          <w:ilvl w:val="0"/>
          <w:numId w:val="1008"/>
        </w:numPr>
      </w:pPr>
      <w:r>
        <w:t xml:space="preserve">Departure rates</w:t>
      </w:r>
    </w:p>
    <w:p>
      <w:pPr>
        <w:pStyle w:val="Compact"/>
        <w:numPr>
          <w:ilvl w:val="0"/>
          <w:numId w:val="1008"/>
        </w:numPr>
      </w:pPr>
      <w:r>
        <w:t xml:space="preserve">Drift vectors</w:t>
      </w:r>
    </w:p>
    <w:p>
      <w:pPr>
        <w:pStyle w:val="Compact"/>
        <w:numPr>
          <w:ilvl w:val="0"/>
          <w:numId w:val="1008"/>
        </w:numPr>
      </w:pPr>
      <w:r>
        <w:t xml:space="preserve">Baseline-relative sustained drift</w:t>
      </w:r>
    </w:p>
    <w:p>
      <w:pPr>
        <w:pStyle w:val="Compact"/>
        <w:numPr>
          <w:ilvl w:val="0"/>
          <w:numId w:val="1008"/>
        </w:numPr>
      </w:pPr>
      <w:r>
        <w:t xml:space="preserve">Optional session aggregates</w:t>
      </w:r>
    </w:p>
    <w:p>
      <w:pPr>
        <w:pStyle w:val="FirstParagraph"/>
      </w:pPr>
      <w:r>
        <w:t xml:space="preserve">Traditional Statistical Process Control often uses limits such as:</w:t>
      </w:r>
    </w:p>
    <w:p>
      <w:pPr>
        <w:pStyle w:val="BodyText"/>
      </w:pPr>
      <m:oMathPara>
        <m:oMathParaPr>
          <m:jc m:val="center"/>
        </m:oMathParaPr>
        <m:oMath>
          <m:r>
            <m:t>μ</m:t>
          </m:r>
          <m:r>
            <m:rPr>
              <m:sty m:val="p"/>
            </m:rPr>
            <m:t>±</m:t>
          </m:r>
          <m:r>
            <m:t>3</m:t>
          </m:r>
          <m:r>
            <m:t>σ</m:t>
          </m:r>
        </m:oMath>
      </m:oMathPara>
    </w:p>
    <w:p>
      <w:pPr>
        <w:pStyle w:val="FirstParagraph"/>
      </w:pPr>
      <w:r>
        <w:t xml:space="preserve">TELOS uses configured tolerance bands around the Purpose Anchor. It does not claim that all semantic similarity distributions are normal or that classical three-sigma limits are automatically valid for cosine scores.</w:t>
      </w:r>
    </w:p>
    <w:p>
      <w:pPr>
        <w:pStyle w:val="BodyText"/>
      </w:pPr>
      <w:r>
        <w:t xml:space="preserve">Cosine similarity is bounded on</w:t>
      </w:r>
      <w:r>
        <w:t xml:space="preserve"> </w:t>
      </w:r>
      <m:oMath>
        <m:r>
          <m:rPr>
            <m:sty m:val="p"/>
          </m:rPr>
          <m:t>[</m:t>
        </m:r>
        <m:r>
          <m:rPr>
            <m:sty m:val="p"/>
          </m:rPr>
          <m:t>−</m:t>
        </m:r>
        <m:r>
          <m:t>1</m:t>
        </m:r>
        <m:r>
          <m:rPr>
            <m:sty m:val="p"/>
          </m:rPr>
          <m:t>,</m:t>
        </m:r>
        <m:r>
          <m:t>1</m:t>
        </m:r>
        <m:r>
          <m:rPr>
            <m:sty m:val="p"/>
          </m:rPr>
          <m:t>]</m:t>
        </m:r>
      </m:oMath>
      <w:r>
        <w:t xml:space="preserve"> </w:t>
      </w:r>
      <w:r>
        <w:t xml:space="preserve">and may be non-normal, especially early in a session. Operative verdict thresholds are configured rather than derived from each observed session.</w:t>
      </w:r>
    </w:p>
    <w:bookmarkEnd w:id="36"/>
    <w:bookmarkStart w:id="37" w:name="ewma-tracking"/>
    <w:p>
      <w:pPr>
        <w:pStyle w:val="Heading3"/>
      </w:pPr>
      <w:r>
        <w:t xml:space="preserve">9.2 EWMA tracking</w:t>
      </w:r>
    </w:p>
    <w:p>
      <w:pPr>
        <w:pStyle w:val="FirstParagraph"/>
      </w:pPr>
      <w:r>
        <w:t xml:space="preserve">The opened response manager includes a baseline-relative exponentially weighted moving average tracker after baseline collection. The method does not disclose the smoothing constant, baseline collection rule, sustained-drift threshold, or full continuity formulation. Those values are deployment-calibrated and held under NDA unless a particular benchmark artifact discloses them.</w:t>
      </w:r>
    </w:p>
    <w:p>
      <w:pPr>
        <w:pStyle w:val="BodyText"/>
      </w:pPr>
      <w:r>
        <w:t xml:space="preserve">Severity is described as a relative decline from the collected baseline under configured thresholds, not as a universal absolute window-average scale.</w:t>
      </w:r>
    </w:p>
    <w:bookmarkEnd w:id="37"/>
    <w:bookmarkStart w:id="38" w:name="purpose-capability"/>
    <w:p>
      <w:pPr>
        <w:pStyle w:val="Heading3"/>
      </w:pPr>
      <w:r>
        <w:t xml:space="preserve">9.3 Purpose capability</w:t>
      </w:r>
    </w:p>
    <w:p>
      <w:pPr>
        <w:pStyle w:val="FirstParagraph"/>
      </w:pPr>
      <w:r>
        <w:t xml:space="preserve">The method carries the process-capability idea into semantic monitoring. From process</w:t>
      </w:r>
      <w:r>
        <w:t xml:space="preserve"> </w:t>
      </w:r>
      <w:r>
        <w:t xml:space="preserve">capability analysis (Montgomery, 2020):</w:t>
      </w:r>
    </w:p>
    <w:p>
      <w:pPr>
        <w:pStyle w:val="BodyText"/>
      </w:pPr>
      <m:oMathPara>
        <m:oMathParaPr>
          <m:jc m:val="center"/>
        </m:oMathParaPr>
        <m:oMath>
          <m:sSub>
            <m:e>
              <m:r>
                <m:t>C</m:t>
              </m:r>
            </m:e>
            <m:sub>
              <m:r>
                <m:t>p</m:t>
              </m:r>
              <m:r>
                <m:t>k</m:t>
              </m:r>
            </m:sub>
          </m:sSub>
          <m:r>
            <m:rPr>
              <m:sty m:val="p"/>
            </m:rPr>
            <m:t>=</m:t>
          </m:r>
          <m:r>
            <m:rPr>
              <m:sty m:val="p"/>
            </m:rPr>
            <m:t>min</m:t>
          </m:r>
          <m:d>
            <m:dPr>
              <m:begChr m:val="("/>
              <m:sepChr m:val=""/>
              <m:endChr m:val=")"/>
              <m:grow/>
            </m:dPr>
            <m:e>
              <m:f>
                <m:fPr>
                  <m:type m:val="bar"/>
                </m:fPr>
                <m:num>
                  <m:r>
                    <m:t>U</m:t>
                  </m:r>
                  <m:r>
                    <m:t>S</m:t>
                  </m:r>
                  <m:r>
                    <m:t>L</m:t>
                  </m:r>
                  <m:r>
                    <m:rPr>
                      <m:sty m:val="p"/>
                    </m:rPr>
                    <m:t>−</m:t>
                  </m:r>
                  <m:r>
                    <m:t>μ</m:t>
                  </m:r>
                </m:num>
                <m:den>
                  <m:r>
                    <m:t>3</m:t>
                  </m:r>
                  <m:r>
                    <m:t>σ</m:t>
                  </m:r>
                </m:den>
              </m:f>
              <m:r>
                <m:rPr>
                  <m:sty m:val="p"/>
                </m:rPr>
                <m:t>,</m:t>
              </m:r>
              <m:f>
                <m:fPr>
                  <m:type m:val="bar"/>
                </m:fPr>
                <m:num>
                  <m:r>
                    <m:t>μ</m:t>
                  </m:r>
                  <m:r>
                    <m:rPr>
                      <m:sty m:val="p"/>
                    </m:rPr>
                    <m:t>−</m:t>
                  </m:r>
                  <m:r>
                    <m:t>L</m:t>
                  </m:r>
                  <m:r>
                    <m:t>S</m:t>
                  </m:r>
                  <m:r>
                    <m:t>L</m:t>
                  </m:r>
                </m:num>
                <m:den>
                  <m:r>
                    <m:t>3</m:t>
                  </m:r>
                  <m:r>
                    <m:t>σ</m:t>
                  </m:r>
                </m:den>
              </m:f>
            </m:e>
          </m:d>
        </m:oMath>
      </m:oMathPara>
    </w:p>
    <w:p>
      <w:pPr>
        <w:pStyle w:val="FirstParagraph"/>
      </w:pPr>
      <w:r>
        <w:t xml:space="preserve">with</w:t>
      </w:r>
      <w:r>
        <w:t xml:space="preserve"> </w:t>
      </w:r>
      <m:oMath>
        <m:r>
          <m:t>U</m:t>
        </m:r>
        <m:r>
          <m:t>S</m:t>
        </m:r>
        <m:r>
          <m:t>L</m:t>
        </m:r>
      </m:oMath>
      <w:r>
        <w:t xml:space="preserve"> </w:t>
      </w:r>
      <w:r>
        <w:t xml:space="preserve">the maximum acceptable drift, which is the escalation trigger,</w:t>
      </w:r>
      <w:r>
        <w:t xml:space="preserve"> </w:t>
      </w:r>
      <m:oMath>
        <m:r>
          <m:t>L</m:t>
        </m:r>
        <m:r>
          <m:t>S</m:t>
        </m:r>
        <m:r>
          <m:t>L</m:t>
        </m:r>
      </m:oMath>
      <w:r>
        <w:t xml:space="preserve"> </w:t>
      </w:r>
      <w:r>
        <w:t xml:space="preserve">the minimum</w:t>
      </w:r>
      <w:r>
        <w:t xml:space="preserve"> </w:t>
      </w:r>
      <w:r>
        <w:t xml:space="preserve">required fidelity, which is the basin threshold, and</w:t>
      </w:r>
      <w:r>
        <w:t xml:space="preserve"> </w:t>
      </w:r>
      <m:oMath>
        <m:r>
          <m:t>μ</m:t>
        </m:r>
      </m:oMath>
      <w:r>
        <w:t xml:space="preserve"> </w:t>
      </w:r>
      <w:r>
        <w:t xml:space="preserve">and</w:t>
      </w:r>
      <w:r>
        <w:t xml:space="preserve"> </w:t>
      </w:r>
      <m:oMath>
        <m:r>
          <m:t>σ</m:t>
        </m:r>
      </m:oMath>
      <w:r>
        <w:t xml:space="preserve"> </w:t>
      </w:r>
      <w:r>
        <w:t xml:space="preserve">the session fidelity</w:t>
      </w:r>
      <w:r>
        <w:t xml:space="preserve"> </w:t>
      </w:r>
      <w:r>
        <w:t xml:space="preserve">mean and standard deviation.</w:t>
      </w:r>
    </w:p>
    <w:p>
      <w:pPr>
        <w:pStyle w:val="BodyText"/>
      </w:pPr>
      <w:r>
        <w:t xml:space="preserve">Interpretation under the stated calibration band:</w:t>
      </w:r>
      <w:r>
        <w:t xml:space="preserve"> </w:t>
      </w:r>
      <m:oMath>
        <m:sSub>
          <m:e>
            <m:r>
              <m:t>C</m:t>
            </m:r>
          </m:e>
          <m:sub>
            <m:r>
              <m:t>p</m:t>
            </m:r>
            <m:r>
              <m:t>k</m:t>
            </m:r>
          </m:sub>
        </m:sSub>
        <m:r>
          <m:rPr>
            <m:sty m:val="p"/>
          </m:rPr>
          <m:t>&gt;</m:t>
        </m:r>
        <m:r>
          <m:t>1.33</m:t>
        </m:r>
      </m:oMath>
      <w:r>
        <w:t xml:space="preserve"> </w:t>
      </w:r>
      <w:r>
        <w:t xml:space="preserve">indicates a highly capable</w:t>
      </w:r>
      <w:r>
        <w:t xml:space="preserve"> </w:t>
      </w:r>
      <w:r>
        <w:t xml:space="preserve">observed process;</w:t>
      </w:r>
      <w:r>
        <w:t xml:space="preserve"> </w:t>
      </w:r>
      <m:oMath>
        <m:r>
          <m:t>1.0</m:t>
        </m:r>
        <m:r>
          <m:rPr>
            <m:sty m:val="p"/>
          </m:rPr>
          <m:t>&lt;</m:t>
        </m:r>
        <m:sSub>
          <m:e>
            <m:r>
              <m:t>C</m:t>
            </m:r>
          </m:e>
          <m:sub>
            <m:r>
              <m:t>p</m:t>
            </m:r>
            <m:r>
              <m:t>k</m:t>
            </m:r>
          </m:sub>
        </m:sSub>
        <m:r>
          <m:rPr>
            <m:sty m:val="p"/>
          </m:rPr>
          <m:t>&lt;</m:t>
        </m:r>
        <m:r>
          <m:t>1.33</m:t>
        </m:r>
      </m:oMath>
      <w:r>
        <w:t xml:space="preserve"> </w:t>
      </w:r>
      <w:r>
        <w:t xml:space="preserve">indicates a capable process to monitor;</w:t>
      </w:r>
      <w:r>
        <w:t xml:space="preserve"> </w:t>
      </w:r>
      <m:oMath>
        <m:sSub>
          <m:e>
            <m:r>
              <m:t>C</m:t>
            </m:r>
          </m:e>
          <m:sub>
            <m:r>
              <m:t>p</m:t>
            </m:r>
            <m:r>
              <m:t>k</m:t>
            </m:r>
          </m:sub>
        </m:sSub>
        <m:r>
          <m:rPr>
            <m:sty m:val="p"/>
          </m:rPr>
          <m:t>&lt;</m:t>
        </m:r>
        <m:r>
          <m:t>1.0</m:t>
        </m:r>
      </m:oMath>
      <w:r>
        <w:t xml:space="preserve"> </w:t>
      </w:r>
      <w:r>
        <w:t xml:space="preserve">indicates a process that is not capable, where departures will surface. The limits derive from</w:t>
      </w:r>
      <w:r>
        <w:t xml:space="preserve"> </w:t>
      </w:r>
      <w:r>
        <w:t xml:space="preserve">calibration against session data. The specific calibration artifacts accompany deployments</w:t>
      </w:r>
      <w:r>
        <w:t xml:space="preserve"> </w:t>
      </w:r>
      <w:r>
        <w:t xml:space="preserve">rather than this specification.</w:t>
      </w:r>
    </w:p>
    <w:p>
      <w:pPr>
        <w:pStyle w:val="BodyText"/>
      </w:pPr>
      <w:r>
        <w:t xml:space="preserve">This hands regulators a familiar quality metric applied to AI governance.</w:t>
      </w:r>
    </w:p>
    <w:bookmarkEnd w:id="38"/>
    <w:bookmarkEnd w:id="39"/>
    <w:bookmarkStart w:id="44" w:name="runtime-decision-model"/>
    <w:p>
      <w:pPr>
        <w:pStyle w:val="Heading2"/>
      </w:pPr>
      <w:r>
        <w:t xml:space="preserve">10. Runtime decision model</w:t>
      </w:r>
    </w:p>
    <w:bookmarkStart w:id="40" w:name="the-agentic-anchor-and-composite-score"/>
    <w:p>
      <w:pPr>
        <w:pStyle w:val="Heading3"/>
      </w:pPr>
      <w:r>
        <w:t xml:space="preserve">10.1 The agentic anchor and composite score</w:t>
      </w:r>
    </w:p>
    <w:p>
      <w:pPr>
        <w:pStyle w:val="FirstParagraph"/>
      </w:pPr>
      <w:r>
        <w:t xml:space="preserve">For agentic deployments the reference is not a single vector but a tuple:</w:t>
      </w:r>
    </w:p>
    <w:p>
      <w:pPr>
        <w:pStyle w:val="BodyText"/>
      </w:pPr>
      <m:oMathPara>
        <m:oMathParaPr>
          <m:jc m:val="center"/>
        </m:oMathParaPr>
        <m:oMath>
          <m:sSub>
            <m:e>
              <m:acc>
                <m:accPr>
                  <m:chr m:val="̂"/>
                </m:accPr>
                <m:e>
                  <m:r>
                    <m:t>a</m:t>
                  </m:r>
                </m:e>
              </m:acc>
            </m:e>
            <m:sub>
              <m:r>
                <m:t>a</m:t>
              </m:r>
              <m:r>
                <m:t>g</m:t>
              </m:r>
              <m:r>
                <m:t>e</m:t>
              </m:r>
              <m:r>
                <m:t>n</m:t>
              </m:r>
              <m:r>
                <m:t>t</m:t>
              </m:r>
              <m:r>
                <m:t>i</m:t>
              </m:r>
              <m:r>
                <m:t>c</m:t>
              </m:r>
            </m:sub>
          </m:sSub>
          <m:r>
            <m:rPr>
              <m:sty m:val="p"/>
            </m:rPr>
            <m:t>=</m:t>
          </m:r>
          <m:r>
            <m:rPr>
              <m:sty m:val="p"/>
            </m:rPr>
            <m:t>(</m:t>
          </m:r>
          <m:sSub>
            <m:e>
              <m:r>
                <m:t>c</m:t>
              </m:r>
            </m:e>
            <m:sub>
              <m:r>
                <m:t>p</m:t>
              </m:r>
              <m:r>
                <m:t>u</m:t>
              </m:r>
              <m:r>
                <m:t>r</m:t>
              </m:r>
              <m:r>
                <m:t>p</m:t>
              </m:r>
              <m:r>
                <m:t>o</m:t>
              </m:r>
              <m:r>
                <m:t>s</m:t>
              </m:r>
              <m:r>
                <m:t>e</m:t>
              </m:r>
            </m:sub>
          </m:sSub>
          <m:r>
            <m:rPr>
              <m:sty m:val="p"/>
            </m:rPr>
            <m:t>,</m:t>
          </m:r>
          <m:sSub>
            <m:e>
              <m:r>
                <m:t>c</m:t>
              </m:r>
            </m:e>
            <m:sub>
              <m:r>
                <m:t>s</m:t>
              </m:r>
              <m:r>
                <m:t>c</m:t>
              </m:r>
              <m:r>
                <m:t>o</m:t>
              </m:r>
              <m:r>
                <m:t>p</m:t>
              </m:r>
              <m:r>
                <m:t>e</m:t>
              </m:r>
            </m:sub>
          </m:sSub>
          <m:r>
            <m:rPr>
              <m:sty m:val="p"/>
            </m:rPr>
            <m:t>,</m:t>
          </m:r>
          <m:sSub>
            <m:e>
              <m:r>
                <m:t>C</m:t>
              </m:r>
            </m:e>
            <m:sub>
              <m:r>
                <m:t>b</m:t>
              </m:r>
              <m:r>
                <m:t>o</m:t>
              </m:r>
              <m:r>
                <m:t>u</m:t>
              </m:r>
              <m:r>
                <m:t>n</m:t>
              </m:r>
              <m:r>
                <m:t>d</m:t>
              </m:r>
              <m:r>
                <m:t>a</m:t>
              </m:r>
              <m:r>
                <m:t>r</m:t>
              </m:r>
              <m:r>
                <m:t>y</m:t>
              </m:r>
            </m:sub>
          </m:sSub>
          <m:r>
            <m:rPr>
              <m:sty m:val="p"/>
            </m:rPr>
            <m:t>,</m:t>
          </m:r>
          <m:sSub>
            <m:e>
              <m:r>
                <m:t>C</m:t>
              </m:r>
            </m:e>
            <m:sub>
              <m:r>
                <m:t>t</m:t>
              </m:r>
              <m:r>
                <m:t>o</m:t>
              </m:r>
              <m:r>
                <m:t>o</m:t>
              </m:r>
              <m:r>
                <m:t>l</m:t>
              </m:r>
            </m:sub>
          </m:sSub>
          <m:r>
            <m:rPr>
              <m:sty m:val="p"/>
            </m:rPr>
            <m:t>,</m:t>
          </m:r>
          <m:sSub>
            <m:e>
              <m:r>
                <m:t>A</m:t>
              </m:r>
            </m:e>
            <m:sub>
              <m:r>
                <m:t>t</m:t>
              </m:r>
              <m:r>
                <m:t>i</m:t>
              </m:r>
              <m:r>
                <m:t>e</m:t>
              </m:r>
              <m:r>
                <m:t>r</m:t>
              </m:r>
            </m:sub>
          </m:sSub>
          <m:r>
            <m:rPr>
              <m:sty m:val="p"/>
            </m:rPr>
            <m:t>,</m:t>
          </m:r>
          <m:sSub>
            <m:e>
              <m:r>
                <m:t>O</m:t>
              </m:r>
            </m:e>
            <m:sub>
              <m:r>
                <m:t>c</m:t>
              </m:r>
              <m:r>
                <m:t>o</m:t>
              </m:r>
              <m:r>
                <m:t>n</m:t>
              </m:r>
              <m:r>
                <m:t>s</m:t>
              </m:r>
              <m:r>
                <m:t>t</m:t>
              </m:r>
              <m:r>
                <m:t>r</m:t>
              </m:r>
              <m:r>
                <m:t>a</m:t>
              </m:r>
              <m:r>
                <m:t>i</m:t>
              </m:r>
              <m:r>
                <m:t>n</m:t>
              </m:r>
              <m:r>
                <m:t>t</m:t>
              </m:r>
              <m:r>
                <m:t>s</m:t>
              </m:r>
            </m:sub>
          </m:sSub>
          <m:r>
            <m:rPr>
              <m:sty m:val="p"/>
            </m:rPr>
            <m:t>)</m:t>
          </m:r>
        </m:oMath>
      </m:oMathPara>
    </w:p>
    <w:p>
      <w:pPr>
        <w:pStyle w:val="FirstParagraph"/>
      </w:pPr>
      <w:r>
        <w:t xml:space="preserve">Each proposed action submitted to the engine receives five weighted decision terms: purpose,</w:t>
      </w:r>
      <w:r>
        <w:t xml:space="preserve"> </w:t>
      </w:r>
      <w:r>
        <w:t xml:space="preserve">scope, tool, chain continuity, and boundary penalty.</w:t>
      </w:r>
    </w:p>
    <w:p>
      <w:pPr>
        <w:pStyle w:val="BodyText"/>
      </w:pPr>
      <m:oMathPara>
        <m:oMathParaPr>
          <m:jc m:val="center"/>
        </m:oMathParaPr>
        <m:oMath>
          <m:sSub>
            <m:e>
              <m:r>
                <m:t>F</m:t>
              </m:r>
            </m:e>
            <m:sub>
              <m:r>
                <m:t>a</m:t>
              </m:r>
              <m:r>
                <m:t>g</m:t>
              </m:r>
              <m:r>
                <m:t>e</m:t>
              </m:r>
              <m:r>
                <m:t>n</m:t>
              </m:r>
              <m:r>
                <m:t>t</m:t>
              </m:r>
              <m:r>
                <m:t>i</m:t>
              </m:r>
              <m:r>
                <m:t>c</m:t>
              </m:r>
            </m:sub>
          </m:sSub>
          <m:r>
            <m:rPr>
              <m:sty m:val="p"/>
            </m:rPr>
            <m:t>=</m:t>
          </m:r>
          <m:r>
            <m:t>0.35</m:t>
          </m:r>
          <m:r>
            <m:rPr>
              <m:sty m:val="p"/>
            </m:rPr>
            <m:t>×</m:t>
          </m:r>
          <m:sSub>
            <m:e>
              <m:r>
                <m:t>f</m:t>
              </m:r>
            </m:e>
            <m:sub>
              <m:r>
                <m:t>p</m:t>
              </m:r>
              <m:r>
                <m:t>u</m:t>
              </m:r>
              <m:r>
                <m:t>r</m:t>
              </m:r>
              <m:r>
                <m:t>p</m:t>
              </m:r>
              <m:r>
                <m:t>o</m:t>
              </m:r>
              <m:r>
                <m:t>s</m:t>
              </m:r>
              <m:r>
                <m:t>e</m:t>
              </m:r>
            </m:sub>
          </m:sSub>
          <m:r>
            <m:rPr>
              <m:sty m:val="p"/>
            </m:rPr>
            <m:t>+</m:t>
          </m:r>
          <m:r>
            <m:t>0.20</m:t>
          </m:r>
          <m:r>
            <m:rPr>
              <m:sty m:val="p"/>
            </m:rPr>
            <m:t>×</m:t>
          </m:r>
          <m:sSub>
            <m:e>
              <m:r>
                <m:t>f</m:t>
              </m:r>
            </m:e>
            <m:sub>
              <m:r>
                <m:t>s</m:t>
              </m:r>
              <m:r>
                <m:t>c</m:t>
              </m:r>
              <m:r>
                <m:t>o</m:t>
              </m:r>
              <m:r>
                <m:t>p</m:t>
              </m:r>
              <m:r>
                <m:t>e</m:t>
              </m:r>
            </m:sub>
          </m:sSub>
          <m:r>
            <m:rPr>
              <m:sty m:val="p"/>
            </m:rPr>
            <m:t>+</m:t>
          </m:r>
          <m:r>
            <m:t>0.20</m:t>
          </m:r>
          <m:r>
            <m:rPr>
              <m:sty m:val="p"/>
            </m:rPr>
            <m:t>×</m:t>
          </m:r>
          <m:sSub>
            <m:e>
              <m:r>
                <m:t>f</m:t>
              </m:r>
            </m:e>
            <m:sub>
              <m:r>
                <m:t>t</m:t>
              </m:r>
              <m:r>
                <m:t>o</m:t>
              </m:r>
              <m:r>
                <m:t>o</m:t>
              </m:r>
              <m:r>
                <m:t>l</m:t>
              </m:r>
            </m:sub>
          </m:sSub>
          <m:r>
            <m:rPr>
              <m:sty m:val="p"/>
            </m:rPr>
            <m:t>+</m:t>
          </m:r>
          <m:r>
            <m:t>0.15</m:t>
          </m:r>
          <m:r>
            <m:rPr>
              <m:sty m:val="p"/>
            </m:rPr>
            <m:t>×</m:t>
          </m:r>
          <m:sSub>
            <m:e>
              <m:r>
                <m:t>f</m:t>
              </m:r>
            </m:e>
            <m:sub>
              <m:r>
                <m:t>c</m:t>
              </m:r>
              <m:r>
                <m:t>h</m:t>
              </m:r>
              <m:r>
                <m:t>a</m:t>
              </m:r>
              <m:r>
                <m:t>i</m:t>
              </m:r>
              <m:r>
                <m:t>n</m:t>
              </m:r>
            </m:sub>
          </m:sSub>
          <m:r>
            <m:rPr>
              <m:sty m:val="p"/>
            </m:rPr>
            <m:t>−</m:t>
          </m:r>
          <m:r>
            <m:t>0.10</m:t>
          </m:r>
          <m:r>
            <m:rPr>
              <m:sty m:val="p"/>
            </m:rPr>
            <m:t>×</m:t>
          </m:r>
          <m:sSub>
            <m:e>
              <m:r>
                <m:t>f</m:t>
              </m:r>
            </m:e>
            <m:sub>
              <m:r>
                <m:t>b</m:t>
              </m:r>
              <m:r>
                <m:t>o</m:t>
              </m:r>
              <m:r>
                <m:t>u</m:t>
              </m:r>
              <m:r>
                <m:t>n</m:t>
              </m:r>
              <m:r>
                <m:t>d</m:t>
              </m:r>
              <m:r>
                <m:t>a</m:t>
              </m:r>
              <m:r>
                <m:t>r</m:t>
              </m:r>
              <m:r>
                <m:t>y</m:t>
              </m:r>
            </m:sub>
          </m:sSub>
        </m:oMath>
      </m:oMathPara>
    </w:p>
    <w:p>
      <w:pPr>
        <w:pStyle w:val="FirstParagraph"/>
      </w:pPr>
      <w:r>
        <w:t xml:space="preserve">where each dimension fidelity</w:t>
      </w:r>
      <w:r>
        <w:t xml:space="preserve"> </w:t>
      </w:r>
      <m:oMath>
        <m:sSub>
          <m:e>
            <m:r>
              <m:t>f</m:t>
            </m:r>
          </m:e>
          <m:sub>
            <m:r>
              <m:t>d</m:t>
            </m:r>
          </m:sub>
        </m:sSub>
        <m:r>
          <m:rPr>
            <m:sty m:val="p"/>
          </m:rPr>
          <m:t>=</m:t>
        </m:r>
        <m:r>
          <m:rPr>
            <m:sty m:val="p"/>
          </m:rPr>
          <m:t>cos</m:t>
        </m:r>
        <m:r>
          <m:rPr>
            <m:sty m:val="p"/>
          </m:rPr>
          <m:t>(</m:t>
        </m:r>
        <m:r>
          <m:rPr>
            <m:nor/>
            <m:sty m:val="p"/>
          </m:rPr>
          <m:t>embed</m:t>
        </m:r>
        <m:r>
          <m:rPr>
            <m:sty m:val="p"/>
          </m:rPr>
          <m:t>(</m:t>
        </m:r>
        <m:r>
          <m:rPr>
            <m:nor/>
            <m:sty m:val="p"/>
          </m:rPr>
          <m:t>action</m:t>
        </m:r>
        <m:r>
          <m:rPr>
            <m:sty m:val="p"/>
          </m:rPr>
          <m:t>)</m:t>
        </m:r>
        <m:r>
          <m:rPr>
            <m:sty m:val="p"/>
          </m:rPr>
          <m:t>,</m:t>
        </m:r>
        <m:sSub>
          <m:e>
            <m:r>
              <m:t>c</m:t>
            </m:r>
          </m:e>
          <m:sub>
            <m:r>
              <m:t>d</m:t>
            </m:r>
          </m:sub>
        </m:sSub>
        <m:r>
          <m:rPr>
            <m:sty m:val="p"/>
          </m:rPr>
          <m:t>)</m:t>
        </m:r>
      </m:oMath>
      <w:r>
        <w:t xml:space="preserve">. The boundary term</w:t>
      </w:r>
      <w:r>
        <w:t xml:space="preserve"> </w:t>
      </w:r>
      <w:r>
        <w:t xml:space="preserve">is a</w:t>
      </w:r>
      <w:r>
        <w:t xml:space="preserve"> </w:t>
      </w:r>
      <w:r>
        <w:rPr>
          <w:b/>
          <w:bCs/>
        </w:rPr>
        <w:t xml:space="preserve">penalty</w:t>
      </w:r>
      <w:r>
        <w:t xml:space="preserve">. The anchor encodes desirable behaviour, while the boundary corpus encodes</w:t>
      </w:r>
      <w:r>
        <w:t xml:space="preserve"> </w:t>
      </w:r>
      <w:r>
        <w:t xml:space="preserve">prohibitions, so higher similarity means closer to a violation and boundary similarity</w:t>
      </w:r>
      <w:r>
        <w:t xml:space="preserve"> </w:t>
      </w:r>
      <w:r>
        <w:t xml:space="preserve">subtracts. The boundary corpus is built in three layers, for both semantic coverage and</w:t>
      </w:r>
      <w:r>
        <w:t xml:space="preserve"> </w:t>
      </w:r>
      <w:r>
        <w:t xml:space="preserve">regulatory traceability: hand-crafted boundary phrasings, generated gap-fillers for what the</w:t>
      </w:r>
      <w:r>
        <w:t xml:space="preserve"> </w:t>
      </w:r>
      <w:r>
        <w:t xml:space="preserve">hand-crafted set misses, and regulatory extractions with provenance chains to specific</w:t>
      </w:r>
      <w:r>
        <w:t xml:space="preserve"> </w:t>
      </w:r>
      <w:r>
        <w:t xml:space="preserve">regulatory text.</w:t>
      </w:r>
    </w:p>
    <w:p>
      <w:pPr>
        <w:pStyle w:val="BodyText"/>
      </w:pPr>
      <w:r>
        <w:t xml:space="preserve">Operational continuity within a submitted work sequence is measured separately by the Semantic</w:t>
      </w:r>
      <w:r>
        <w:t xml:space="preserve"> </w:t>
      </w:r>
      <w:r>
        <w:t xml:space="preserve">Continuity Index:</w:t>
      </w:r>
    </w:p>
    <w:p>
      <w:pPr>
        <w:pStyle w:val="BodyText"/>
      </w:pPr>
      <m:oMathPara>
        <m:oMathParaPr>
          <m:jc m:val="center"/>
        </m:oMathParaPr>
        <m:oMath>
          <m:r>
            <m:t>S</m:t>
          </m:r>
          <m:r>
            <m:t>C</m:t>
          </m:r>
          <m:sSub>
            <m:e>
              <m:r>
                <m:t>I</m:t>
              </m:r>
            </m:e>
            <m:sub>
              <m:r>
                <m:t>n</m:t>
              </m:r>
            </m:sub>
          </m:sSub>
          <m:r>
            <m:rPr>
              <m:sty m:val="p"/>
            </m:rPr>
            <m:t>=</m:t>
          </m:r>
          <m:r>
            <m:rPr>
              <m:sty m:val="p"/>
            </m:rPr>
            <m:t>cos</m:t>
          </m:r>
          <m:r>
            <m:rPr>
              <m:sty m:val="p"/>
            </m:rPr>
            <m:t>(</m:t>
          </m:r>
          <m:r>
            <m:rPr>
              <m:nor/>
              <m:sty m:val="p"/>
            </m:rPr>
            <m:t>embed</m:t>
          </m:r>
          <m:r>
            <m:rPr>
              <m:sty m:val="p"/>
            </m:rPr>
            <m:t>(</m:t>
          </m:r>
          <m:sSub>
            <m:e>
              <m:r>
                <m:rPr>
                  <m:nor/>
                  <m:sty m:val="p"/>
                </m:rPr>
                <m:t>action</m:t>
              </m:r>
            </m:e>
            <m:sub>
              <m:r>
                <m:t>n</m:t>
              </m:r>
            </m:sub>
          </m:sSub>
          <m:r>
            <m:rPr>
              <m:sty m:val="p"/>
            </m:rPr>
            <m:t>)</m:t>
          </m:r>
          <m:r>
            <m:rPr>
              <m:sty m:val="p"/>
            </m:rPr>
            <m:t>,</m:t>
          </m:r>
          <m:r>
            <m:rPr>
              <m:nor/>
              <m:sty m:val="p"/>
            </m:rPr>
            <m:t>embed</m:t>
          </m:r>
          <m:r>
            <m:rPr>
              <m:sty m:val="p"/>
            </m:rPr>
            <m:t>(</m:t>
          </m:r>
          <m:sSub>
            <m:e>
              <m:r>
                <m:rPr>
                  <m:nor/>
                  <m:sty m:val="p"/>
                </m:rPr>
                <m:t>action</m:t>
              </m:r>
            </m:e>
            <m:sub>
              <m:r>
                <m:t>n</m:t>
              </m:r>
              <m:r>
                <m:rPr>
                  <m:sty m:val="p"/>
                </m:rPr>
                <m:t>−</m:t>
              </m:r>
              <m:r>
                <m:t>1</m:t>
              </m:r>
            </m:sub>
          </m:sSub>
          <m:r>
            <m:rPr>
              <m:sty m:val="p"/>
            </m:rPr>
            <m:t>)</m:t>
          </m:r>
          <m:r>
            <m:rPr>
              <m:sty m:val="p"/>
            </m:rPr>
            <m:t>)</m:t>
          </m:r>
        </m:oMath>
      </m:oMathPara>
    </w:p>
    <w:p>
      <w:pPr>
        <w:pStyle w:val="FirstParagraph"/>
      </w:pPr>
      <w:r>
        <w:t xml:space="preserve">which tracks step-to-step coherence. When</w:t>
      </w:r>
      <w:r>
        <w:t xml:space="preserve"> </w:t>
      </w:r>
      <m:oMath>
        <m:r>
          <m:t>S</m:t>
        </m:r>
        <m:r>
          <m:t>C</m:t>
        </m:r>
        <m:sSub>
          <m:e>
            <m:r>
              <m:t>I</m:t>
            </m:r>
          </m:e>
          <m:sub>
            <m:r>
              <m:t>n</m:t>
            </m:r>
          </m:sub>
        </m:sSub>
        <m:r>
          <m:rPr>
            <m:sty m:val="p"/>
          </m:rPr>
          <m:t>≥</m:t>
        </m:r>
        <m:r>
          <m:t>0.30</m:t>
        </m:r>
      </m:oMath>
      <w:r>
        <w:t xml:space="preserve">, chain context inherits from the</w:t>
      </w:r>
      <w:r>
        <w:t xml:space="preserve"> </w:t>
      </w:r>
      <w:r>
        <w:t xml:space="preserve">previous step, giving momentum with decay. Below that threshold a chain break is detected and</w:t>
      </w:r>
      <w:r>
        <w:t xml:space="preserve"> </w:t>
      </w:r>
      <w:r>
        <w:t xml:space="preserve">context resets, preventing stale context from contaminating the current sequence. Chain state</w:t>
      </w:r>
      <w:r>
        <w:t xml:space="preserve"> </w:t>
      </w:r>
      <w:r>
        <w:t xml:space="preserve">is part of the record.</w:t>
      </w:r>
    </w:p>
    <w:bookmarkEnd w:id="40"/>
    <w:bookmarkStart w:id="41" w:name="graduated-outcomes"/>
    <w:p>
      <w:pPr>
        <w:pStyle w:val="Heading3"/>
      </w:pPr>
      <w:r>
        <w:t xml:space="preserve">10.2 Graduated outcomes</w:t>
      </w:r>
    </w:p>
    <w:p>
      <w:pPr>
        <w:pStyle w:val="FirstParagraph"/>
      </w:pPr>
      <w:r>
        <w:t xml:space="preserve">The operational frame uses two principal outcomes plus escalation:</w:t>
      </w:r>
    </w:p>
    <w:p>
      <w:pPr>
        <w:pStyle w:val="Compact"/>
        <w:numPr>
          <w:ilvl w:val="0"/>
          <w:numId w:val="1009"/>
        </w:numPr>
      </w:pPr>
      <w:r>
        <w:t xml:space="preserve">Within the Manifest</w:t>
      </w:r>
    </w:p>
    <w:p>
      <w:pPr>
        <w:pStyle w:val="Compact"/>
        <w:numPr>
          <w:ilvl w:val="0"/>
          <w:numId w:val="1009"/>
        </w:numPr>
      </w:pPr>
      <w:r>
        <w:t xml:space="preserve">Departure from the Manifest</w:t>
      </w:r>
    </w:p>
    <w:p>
      <w:pPr>
        <w:pStyle w:val="Compact"/>
        <w:numPr>
          <w:ilvl w:val="0"/>
          <w:numId w:val="1009"/>
        </w:numPr>
      </w:pPr>
      <w:r>
        <w:t xml:space="preserve">Human surfacing or configured handling based on severity and policy</w:t>
      </w:r>
    </w:p>
    <w:p>
      <w:pPr>
        <w:pStyle w:val="FirstParagraph"/>
      </w:pPr>
      <w:r>
        <w:t xml:space="preserve">The verdict vocabulary is</w:t>
      </w:r>
      <w:r>
        <w:t xml:space="preserve"> </w:t>
      </w:r>
      <w:r>
        <w:rPr>
          <w:rStyle w:val="VerbatimChar"/>
        </w:rPr>
        <w:t xml:space="preserve">execute</w:t>
      </w:r>
      <w:r>
        <w:t xml:space="preserve">,</w:t>
      </w:r>
      <w:r>
        <w:t xml:space="preserve"> </w:t>
      </w:r>
      <w:r>
        <w:rPr>
          <w:rStyle w:val="VerbatimChar"/>
        </w:rPr>
        <w:t xml:space="preserve">clarify</w:t>
      </w:r>
      <w:r>
        <w:t xml:space="preserve">, and</w:t>
      </w:r>
      <w:r>
        <w:t xml:space="preserve"> </w:t>
      </w:r>
      <w:r>
        <w:rPr>
          <w:rStyle w:val="VerbatimChar"/>
        </w:rPr>
        <w:t xml:space="preserve">escalate</w:t>
      </w:r>
      <w:r>
        <w:t xml:space="preserve">.</w:t>
      </w:r>
    </w:p>
    <w:p>
      <w:pPr>
        <w:pStyle w:val="Compact"/>
        <w:numPr>
          <w:ilvl w:val="0"/>
          <w:numId w:val="1010"/>
        </w:numPr>
      </w:pPr>
      <w:r>
        <w:rPr>
          <w:rStyle w:val="VerbatimChar"/>
          <w:b/>
          <w:bCs/>
        </w:rPr>
        <w:t xml:space="preserve">execute</w:t>
      </w:r>
      <w:r>
        <w:t xml:space="preserve"> </w:t>
      </w:r>
      <w:r>
        <w:t xml:space="preserve">records an action assessed as within the declared specification.</w:t>
      </w:r>
    </w:p>
    <w:p>
      <w:pPr>
        <w:pStyle w:val="Compact"/>
        <w:numPr>
          <w:ilvl w:val="0"/>
          <w:numId w:val="1010"/>
        </w:numPr>
      </w:pPr>
      <w:r>
        <w:rPr>
          <w:rStyle w:val="VerbatimChar"/>
          <w:b/>
          <w:bCs/>
        </w:rPr>
        <w:t xml:space="preserve">clarify</w:t>
      </w:r>
      <w:r>
        <w:t xml:space="preserve"> </w:t>
      </w:r>
      <w:r>
        <w:t xml:space="preserve">marks proximity to a boundary, or a dimension the measurement cannot resolve</w:t>
      </w:r>
      <w:r>
        <w:t xml:space="preserve"> </w:t>
      </w:r>
      <w:r>
        <w:t xml:space="preserve">confidently, for resolution on the agent path before the action proceeds. It is not a human</w:t>
      </w:r>
      <w:r>
        <w:t xml:space="preserve"> </w:t>
      </w:r>
      <w:r>
        <w:t xml:space="preserve">review state.</w:t>
      </w:r>
    </w:p>
    <w:p>
      <w:pPr>
        <w:pStyle w:val="Compact"/>
        <w:numPr>
          <w:ilvl w:val="0"/>
          <w:numId w:val="1010"/>
        </w:numPr>
      </w:pPr>
      <w:r>
        <w:rPr>
          <w:rStyle w:val="VerbatimChar"/>
          <w:b/>
          <w:bCs/>
        </w:rPr>
        <w:t xml:space="preserve">escalate</w:t>
      </w:r>
      <w:r>
        <w:t xml:space="preserve"> </w:t>
      </w:r>
      <w:r>
        <w:t xml:space="preserve">is the human path. It routes the matter to the accountable person named in the</w:t>
      </w:r>
      <w:r>
        <w:t xml:space="preserve"> </w:t>
      </w:r>
      <w:r>
        <w:t xml:space="preserve">escalation policy.</w:t>
      </w:r>
    </w:p>
    <w:p>
      <w:pPr>
        <w:pStyle w:val="FirstParagraph"/>
      </w:pPr>
      <w:r>
        <w:t xml:space="preserve">An optional micro-judge can be enabled for unresolved cases. It is off by default and does not</w:t>
      </w:r>
      <w:r>
        <w:t xml:space="preserve"> </w:t>
      </w:r>
      <w:r>
        <w:t xml:space="preserve">judge boundary proximity.</w:t>
      </w:r>
    </w:p>
    <w:p>
      <w:pPr>
        <w:pStyle w:val="BodyText"/>
      </w:pPr>
      <w:r>
        <w:rPr>
          <w:b/>
          <w:bCs/>
        </w:rPr>
        <w:t xml:space="preserve">A recorded verdict is a classification, not a disposition.</w:t>
      </w:r>
      <w:r>
        <w:t xml:space="preserve"> </w:t>
      </w:r>
      <w:r>
        <w:t xml:space="preserve">Under the current</w:t>
      </w:r>
      <w:r>
        <w:t xml:space="preserve"> </w:t>
      </w:r>
      <w:r>
        <w:rPr>
          <w:rStyle w:val="VerbatimChar"/>
        </w:rPr>
        <w:t xml:space="preserve">gateMode: observe</w:t>
      </w:r>
      <w:r>
        <w:t xml:space="preserve"> </w:t>
      </w:r>
      <w:r>
        <w:t xml:space="preserve">and</w:t>
      </w:r>
      <w:r>
        <w:t xml:space="preserve"> </w:t>
      </w:r>
      <w:r>
        <w:rPr>
          <w:rStyle w:val="VerbatimChar"/>
        </w:rPr>
        <w:t xml:space="preserve">failPolicy: open</w:t>
      </w:r>
      <w:r>
        <w:t xml:space="preserve"> </w:t>
      </w:r>
      <w:r>
        <w:t xml:space="preserve">configuration, a recorded</w:t>
      </w:r>
      <w:r>
        <w:t xml:space="preserve"> </w:t>
      </w:r>
      <w:r>
        <w:rPr>
          <w:rStyle w:val="VerbatimChar"/>
        </w:rPr>
        <w:t xml:space="preserve">clarify</w:t>
      </w:r>
      <w:r>
        <w:t xml:space="preserve"> </w:t>
      </w:r>
      <w:r>
        <w:t xml:space="preserve">or</w:t>
      </w:r>
      <w:r>
        <w:t xml:space="preserve"> </w:t>
      </w:r>
      <w:r>
        <w:rPr>
          <w:rStyle w:val="VerbatimChar"/>
        </w:rPr>
        <w:t xml:space="preserve">escalate</w:t>
      </w:r>
      <w:r>
        <w:t xml:space="preserve"> </w:t>
      </w:r>
      <w:r>
        <w:t xml:space="preserve">does</w:t>
      </w:r>
      <w:r>
        <w:t xml:space="preserve"> </w:t>
      </w:r>
      <w:r>
        <w:t xml:space="preserve">not by itself establish that the action was blocked or delayed, that clarification took place, or</w:t>
      </w:r>
      <w:r>
        <w:t xml:space="preserve"> </w:t>
      </w:r>
      <w:r>
        <w:t xml:space="preserve">that a human received or resolved anything. Evidence of those outcomes requires the adapter event</w:t>
      </w:r>
      <w:r>
        <w:t xml:space="preserve"> </w:t>
      </w:r>
      <w:r>
        <w:t xml:space="preserve">record, recipient, response, and timing.</w:t>
      </w:r>
    </w:p>
    <w:bookmarkEnd w:id="41"/>
    <w:bookmarkStart w:id="42" w:name="observation-and-enforcement"/>
    <w:p>
      <w:pPr>
        <w:pStyle w:val="Heading3"/>
      </w:pPr>
      <w:r>
        <w:t xml:space="preserve">10.3 Observation and enforcement</w:t>
      </w:r>
    </w:p>
    <w:p>
      <w:pPr>
        <w:pStyle w:val="FirstParagraph"/>
      </w:pPr>
      <w:r>
        <w:t xml:space="preserve">An adapter can carry enforcement capability. Deployment configuration decides whether a result is observed or enforced.</w:t>
      </w:r>
    </w:p>
    <w:p>
      <w:pPr>
        <w:pStyle w:val="BodyText"/>
      </w:pPr>
      <w:r>
        <w:t xml:space="preserve">The current internal configuration is:</w:t>
      </w:r>
    </w:p>
    <w:p>
      <w:pPr>
        <w:pStyle w:val="SourceCode"/>
      </w:pPr>
      <w:r>
        <w:rPr>
          <w:rStyle w:val="VerbatimChar"/>
        </w:rPr>
        <w:t xml:space="preserve">gateMode: observe</w:t>
      </w:r>
      <w:r>
        <w:br/>
      </w:r>
      <w:r>
        <w:rPr>
          <w:rStyle w:val="VerbatimChar"/>
        </w:rPr>
        <w:t xml:space="preserve">failPolicy: open</w:t>
      </w:r>
    </w:p>
    <w:p>
      <w:pPr>
        <w:pStyle w:val="FirstParagraph"/>
      </w:pPr>
      <w:r>
        <w:t xml:space="preserve">Under this configuration, the action proceeds. The system records the measurement and may surface it. The current evidence therefore supports observation claims rather than universal prevention claims.</w:t>
      </w:r>
    </w:p>
    <w:bookmarkEnd w:id="42"/>
    <w:bookmarkStart w:id="43" w:name="configuration-evidence"/>
    <w:p>
      <w:pPr>
        <w:pStyle w:val="Heading3"/>
      </w:pPr>
      <w:r>
        <w:t xml:space="preserve">10.4 Configuration evidence</w:t>
      </w:r>
    </w:p>
    <w:p>
      <w:pPr>
        <w:pStyle w:val="FirstParagraph"/>
      </w:pPr>
      <w:r>
        <w:t xml:space="preserve">The active threshold and optional-component configuration is not included in the current per-action receipt. A reviewer needs separately preserved configuration evidence to determine:</w:t>
      </w:r>
    </w:p>
    <w:p>
      <w:pPr>
        <w:pStyle w:val="Compact"/>
        <w:numPr>
          <w:ilvl w:val="0"/>
          <w:numId w:val="1011"/>
        </w:numPr>
      </w:pPr>
      <w:r>
        <w:t xml:space="preserve">Which embedding model and version were active</w:t>
      </w:r>
    </w:p>
    <w:p>
      <w:pPr>
        <w:pStyle w:val="Compact"/>
        <w:numPr>
          <w:ilvl w:val="0"/>
          <w:numId w:val="1011"/>
        </w:numPr>
      </w:pPr>
      <w:r>
        <w:t xml:space="preserve">Which Manifest and Purpose Anchor were in force</w:t>
      </w:r>
    </w:p>
    <w:p>
      <w:pPr>
        <w:pStyle w:val="Compact"/>
        <w:numPr>
          <w:ilvl w:val="0"/>
          <w:numId w:val="1011"/>
        </w:numPr>
      </w:pPr>
      <w:r>
        <w:t xml:space="preserve">Which thresholds and weights were applied</w:t>
      </w:r>
    </w:p>
    <w:p>
      <w:pPr>
        <w:pStyle w:val="Compact"/>
        <w:numPr>
          <w:ilvl w:val="0"/>
          <w:numId w:val="1011"/>
        </w:numPr>
      </w:pPr>
      <w:r>
        <w:t xml:space="preserve">Whether optional classifiers or micro-judges were enabled</w:t>
      </w:r>
    </w:p>
    <w:p>
      <w:pPr>
        <w:pStyle w:val="Compact"/>
        <w:numPr>
          <w:ilvl w:val="0"/>
          <w:numId w:val="1011"/>
        </w:numPr>
      </w:pPr>
      <w:r>
        <w:t xml:space="preserve">Whether the adapter was observing or enforcing</w:t>
      </w:r>
    </w:p>
    <w:p>
      <w:pPr>
        <w:pStyle w:val="Compact"/>
        <w:numPr>
          <w:ilvl w:val="0"/>
          <w:numId w:val="1011"/>
        </w:numPr>
      </w:pPr>
      <w:r>
        <w:t xml:space="preserve">Which failure policy applied</w:t>
      </w:r>
    </w:p>
    <w:p>
      <w:pPr>
        <w:pStyle w:val="FirstParagraph"/>
      </w:pPr>
      <w:r>
        <w:t xml:space="preserve">This missing binding is a current evidence limitation, not a change to the scoring method.</w:t>
      </w:r>
    </w:p>
    <w:bookmarkEnd w:id="43"/>
    <w:bookmarkEnd w:id="44"/>
    <w:bookmarkStart w:id="48" w:name="architectural-positioning"/>
    <w:p>
      <w:pPr>
        <w:pStyle w:val="Heading2"/>
      </w:pPr>
      <w:r>
        <w:t xml:space="preserve">11. Architectural positioning</w:t>
      </w:r>
    </w:p>
    <w:bookmarkStart w:id="45" w:name="middleware-interface"/>
    <w:p>
      <w:pPr>
        <w:pStyle w:val="Heading3"/>
      </w:pPr>
      <w:r>
        <w:t xml:space="preserve">11.1 Middleware interface</w:t>
      </w:r>
    </w:p>
    <w:p>
      <w:pPr>
        <w:pStyle w:val="FirstParagraph"/>
      </w:pPr>
      <w:r>
        <w:t xml:space="preserve">The opened source provides a framework-independent governance protocol and adapters that an application can place between orchestration logic and a model or tool layer.</w:t>
      </w:r>
    </w:p>
    <w:p>
      <w:pPr>
        <w:pStyle w:val="BodyText"/>
      </w:pPr>
      <w:r>
        <w:t xml:space="preserve">The interface has six stated properties:</w:t>
      </w:r>
    </w:p>
    <w:p>
      <w:pPr>
        <w:pStyle w:val="Compact"/>
        <w:numPr>
          <w:ilvl w:val="0"/>
          <w:numId w:val="1012"/>
        </w:numPr>
      </w:pPr>
      <w:r>
        <w:t xml:space="preserve">It scores submitted text and tool metadata without retraining the governed model.</w:t>
      </w:r>
    </w:p>
    <w:p>
      <w:pPr>
        <w:pStyle w:val="Compact"/>
        <w:numPr>
          <w:ilvl w:val="0"/>
          <w:numId w:val="1012"/>
        </w:numPr>
      </w:pPr>
      <w:r>
        <w:t xml:space="preserve">Measurement occurs when an adapter invokes the protocol.</w:t>
      </w:r>
    </w:p>
    <w:p>
      <w:pPr>
        <w:pStyle w:val="Compact"/>
        <w:numPr>
          <w:ilvl w:val="0"/>
          <w:numId w:val="1012"/>
        </w:numPr>
      </w:pPr>
      <w:r>
        <w:t xml:space="preserve">The interface is not coupled to a single model provider.</w:t>
      </w:r>
    </w:p>
    <w:p>
      <w:pPr>
        <w:pStyle w:val="Compact"/>
        <w:numPr>
          <w:ilvl w:val="0"/>
          <w:numId w:val="1012"/>
        </w:numPr>
      </w:pPr>
      <w:r>
        <w:t xml:space="preserve">TELOS-defined local record formats are independent of model-provider response formats.</w:t>
      </w:r>
    </w:p>
    <w:p>
      <w:pPr>
        <w:pStyle w:val="Compact"/>
        <w:numPr>
          <w:ilvl w:val="0"/>
          <w:numId w:val="1012"/>
        </w:numPr>
      </w:pPr>
      <w:r>
        <w:t xml:space="preserve">The records support documentation and review but do not by themselves establish compliance.</w:t>
      </w:r>
    </w:p>
    <w:p>
      <w:pPr>
        <w:pStyle w:val="Compact"/>
        <w:numPr>
          <w:ilvl w:val="0"/>
          <w:numId w:val="1012"/>
        </w:numPr>
      </w:pPr>
      <w:r>
        <w:t xml:space="preserve">Coverage begins only after an orchestration path is explicitly integrated.</w:t>
      </w:r>
    </w:p>
    <w:bookmarkEnd w:id="45"/>
    <w:bookmarkStart w:id="46" w:name="provider-independence"/>
    <w:p>
      <w:pPr>
        <w:pStyle w:val="Heading3"/>
      </w:pPr>
      <w:r>
        <w:t xml:space="preserve">11.2 Provider independence</w:t>
      </w:r>
    </w:p>
    <w:p>
      <w:pPr>
        <w:pStyle w:val="FirstParagraph"/>
      </w:pPr>
      <w:r>
        <w:t xml:space="preserve">Provider independence is an interface property. Empirical equivalence across models and embedding backends remains unestablished. The July AgentHarm scorer-profile difference, reported in the validation companion, demonstrates why the distinction matters.</w:t>
      </w:r>
    </w:p>
    <w:bookmarkEnd w:id="46"/>
    <w:bookmarkStart w:id="47" w:name="documentation-to-manifest-compilation"/>
    <w:p>
      <w:pPr>
        <w:pStyle w:val="Heading3"/>
      </w:pPr>
      <w:r>
        <w:t xml:space="preserve">11.3 Documentation-to-Manifest compilation</w:t>
      </w:r>
    </w:p>
    <w:p>
      <w:pPr>
        <w:pStyle w:val="FirstParagraph"/>
      </w:pPr>
      <w:r>
        <w:t xml:space="preserve">The planned documentation compiler would derive a concise, versioned Manifest from organizational policies, procedures, and handbooks. The corpus would remain distinct from the approved specification.</w:t>
      </w:r>
    </w:p>
    <w:p>
      <w:pPr>
        <w:pStyle w:val="BodyText"/>
      </w:pPr>
      <w:r>
        <w:t xml:space="preserve">That pipeline is COMING. It is not shipped, and its implementation remains held. The current method begins from a manually formed or otherwise supplied behavioral specification.</w:t>
      </w:r>
    </w:p>
    <w:bookmarkEnd w:id="47"/>
    <w:bookmarkEnd w:id="48"/>
    <w:bookmarkStart w:id="49" w:name="open-empirical-predictions"/>
    <w:p>
      <w:pPr>
        <w:pStyle w:val="Heading2"/>
      </w:pPr>
      <w:r>
        <w:t xml:space="preserve">12. Open empirical predictions</w:t>
      </w:r>
    </w:p>
    <w:p>
      <w:pPr>
        <w:pStyle w:val="FirstParagraph"/>
      </w:pPr>
      <w:r>
        <w:t xml:space="preserve">Three falsifiable predictions follow from the method:</w:t>
      </w:r>
    </w:p>
    <w:p>
      <w:pPr>
        <w:pStyle w:val="BodyText"/>
      </w:pPr>
      <w:r>
        <w:rPr>
          <w:b/>
          <w:bCs/>
        </w:rPr>
        <w:t xml:space="preserve">P1.</w:t>
      </w:r>
      <w:r>
        <w:t xml:space="preserve"> </w:t>
      </w:r>
      <w:r>
        <w:t xml:space="preserve">Fidelity loss should correlate with attention-weight movement toward recent context.</w:t>
      </w:r>
    </w:p>
    <w:p>
      <w:pPr>
        <w:pStyle w:val="BodyText"/>
      </w:pPr>
      <w:r>
        <w:rPr>
          <w:b/>
          <w:bCs/>
        </w:rPr>
        <w:t xml:space="preserve">P2.</w:t>
      </w:r>
      <w:r>
        <w:t xml:space="preserve"> </w:t>
      </w:r>
      <w:r>
        <w:t xml:space="preserve">Manipulations that increase attention on the original constraint should reduce fidelity loss even without TELOS measurement.</w:t>
      </w:r>
    </w:p>
    <w:p>
      <w:pPr>
        <w:pStyle w:val="BodyText"/>
      </w:pPr>
      <w:r>
        <w:rPr>
          <w:b/>
          <w:bCs/>
        </w:rPr>
        <w:t xml:space="preserve">P3.</w:t>
      </w:r>
      <w:r>
        <w:t xml:space="preserve"> </w:t>
      </w:r>
      <w:r>
        <w:t xml:space="preserve">Models with weaker recency bias should retain better baseline fidelity.</w:t>
      </w:r>
    </w:p>
    <w:p>
      <w:pPr>
        <w:pStyle w:val="BodyText"/>
      </w:pPr>
      <w:r>
        <w:t xml:space="preserve">These predictions remain unevaluated. They motivate research but are not evidence supporting the current product.</w:t>
      </w:r>
    </w:p>
    <w:bookmarkEnd w:id="49"/>
    <w:bookmarkStart w:id="50" w:name="X94cb627827aa1f7e3c5a5dfa29ac2d889538e52"/>
    <w:p>
      <w:pPr>
        <w:pStyle w:val="Heading2"/>
      </w:pPr>
      <w:r>
        <w:t xml:space="preserve">12A. Implementation, configuration, and validation state</w:t>
      </w:r>
    </w:p>
    <w:p>
      <w:pPr>
        <w:pStyle w:val="FirstParagraph"/>
      </w:pPr>
      <w:r>
        <w:t xml:space="preserve">A single status label cannot carry this material, because three facts vary independently: whether</w:t>
      </w:r>
      <w:r>
        <w:t xml:space="preserve"> </w:t>
      </w:r>
      <w:r>
        <w:t xml:space="preserve">a mechanism is</w:t>
      </w:r>
      <w:r>
        <w:t xml:space="preserve"> </w:t>
      </w:r>
      <w:r>
        <w:rPr>
          <w:b/>
          <w:bCs/>
        </w:rPr>
        <w:t xml:space="preserve">implemented</w:t>
      </w:r>
      <w:r>
        <w:t xml:space="preserve">, whether it is</w:t>
      </w:r>
      <w:r>
        <w:t xml:space="preserve"> </w:t>
      </w:r>
      <w:r>
        <w:rPr>
          <w:b/>
          <w:bCs/>
        </w:rPr>
        <w:t xml:space="preserve">active in the configuration described by this</w:t>
      </w:r>
      <w:r>
        <w:rPr>
          <w:b/>
          <w:bCs/>
        </w:rPr>
        <w:t xml:space="preserve"> </w:t>
      </w:r>
      <w:r>
        <w:rPr>
          <w:b/>
          <w:bCs/>
        </w:rPr>
        <w:t xml:space="preserve">specification</w:t>
      </w:r>
      <w:r>
        <w:t xml:space="preserve">, and whether its behaviour has been</w:t>
      </w:r>
      <w:r>
        <w:t xml:space="preserve"> </w:t>
      </w:r>
      <w:r>
        <w:rPr>
          <w:b/>
          <w:bCs/>
        </w:rPr>
        <w:t xml:space="preserve">validated</w:t>
      </w:r>
      <w:r>
        <w:t xml:space="preserve">. A mechanism can be built and</w:t>
      </w:r>
      <w:r>
        <w:t xml:space="preserve"> </w:t>
      </w:r>
      <w:r>
        <w:t xml:space="preserve">inactive. A mechanism can be active and unvalidated. The table below therefore separates them.</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Mechanism</w:t>
            </w:r>
          </w:p>
        </w:tc>
        <w:tc>
          <w:tcPr/>
          <w:p>
            <w:pPr>
              <w:pStyle w:val="Compact"/>
            </w:pPr>
            <w:r>
              <w:t xml:space="preserve">Implementation</w:t>
            </w:r>
          </w:p>
        </w:tc>
        <w:tc>
          <w:tcPr/>
          <w:p>
            <w:pPr>
              <w:pStyle w:val="Compact"/>
            </w:pPr>
            <w:r>
              <w:t xml:space="preserve">Current configuration</w:t>
            </w:r>
          </w:p>
        </w:tc>
        <w:tc>
          <w:tcPr/>
          <w:p>
            <w:pPr>
              <w:pStyle w:val="Compact"/>
            </w:pPr>
            <w:r>
              <w:t xml:space="preserve">Validation</w:t>
            </w:r>
          </w:p>
        </w:tc>
      </w:tr>
      <w:tr>
        <w:tc>
          <w:tcPr/>
          <w:p>
            <w:pPr>
              <w:pStyle w:val="Compact"/>
            </w:pPr>
            <w:r>
              <w:t xml:space="preserve">Per-action measurement against the Purpose Anchor</w:t>
            </w:r>
          </w:p>
        </w:tc>
        <w:tc>
          <w:tcPr/>
          <w:p>
            <w:pPr>
              <w:pStyle w:val="Compact"/>
            </w:pPr>
            <w:r>
              <w:t xml:space="preserve">Implemented</w:t>
            </w:r>
          </w:p>
        </w:tc>
        <w:tc>
          <w:tcPr/>
          <w:p>
            <w:pPr>
              <w:pStyle w:val="Compact"/>
            </w:pPr>
            <w:r>
              <w:t xml:space="preserve">Active on instrumented paths</w:t>
            </w:r>
          </w:p>
        </w:tc>
        <w:tc>
          <w:tcPr/>
          <w:p>
            <w:pPr>
              <w:pStyle w:val="Compact"/>
            </w:pPr>
            <w:r>
              <w:t xml:space="preserve">Validated only for the cited tests and scorer profiles</w:t>
            </w:r>
          </w:p>
        </w:tc>
      </w:tr>
      <w:tr>
        <w:tc>
          <w:tcPr/>
          <w:p>
            <w:pPr>
              <w:pStyle w:val="Compact"/>
            </w:pPr>
            <w:r>
              <w:t xml:space="preserve">Verdict emission (</w:t>
            </w:r>
            <w:r>
              <w:rPr>
                <w:rStyle w:val="VerbatimChar"/>
              </w:rPr>
              <w:t xml:space="preserve">execute</w:t>
            </w:r>
            <w:r>
              <w:t xml:space="preserve"> </w:t>
            </w:r>
            <w:r>
              <w:t xml:space="preserve">/</w:t>
            </w:r>
            <w:r>
              <w:t xml:space="preserve"> </w:t>
            </w:r>
            <w:r>
              <w:rPr>
                <w:rStyle w:val="VerbatimChar"/>
              </w:rPr>
              <w:t xml:space="preserve">clarify</w:t>
            </w:r>
            <w:r>
              <w:t xml:space="preserve"> </w:t>
            </w:r>
            <w:r>
              <w:t xml:space="preserve">/</w:t>
            </w:r>
            <w:r>
              <w:t xml:space="preserve"> </w:t>
            </w:r>
            <w:r>
              <w:rPr>
                <w:rStyle w:val="VerbatimChar"/>
              </w:rPr>
              <w:t xml:space="preserve">escalate</w:t>
            </w:r>
            <w:r>
              <w:t xml:space="preserve">)</w:t>
            </w:r>
          </w:p>
        </w:tc>
        <w:tc>
          <w:tcPr/>
          <w:p>
            <w:pPr>
              <w:pStyle w:val="Compact"/>
            </w:pPr>
            <w:r>
              <w:t xml:space="preserve">Implemented</w:t>
            </w:r>
          </w:p>
        </w:tc>
        <w:tc>
          <w:tcPr/>
          <w:p>
            <w:pPr>
              <w:pStyle w:val="Compact"/>
            </w:pPr>
            <w:r>
              <w:t xml:space="preserve">Active</w:t>
            </w:r>
          </w:p>
        </w:tc>
        <w:tc>
          <w:tcPr/>
          <w:p>
            <w:pPr>
              <w:pStyle w:val="Compact"/>
            </w:pPr>
            <w:r>
              <w:t xml:space="preserve">Emission of a verdict is not evidence of the behaviour the verdict names</w:t>
            </w:r>
          </w:p>
        </w:tc>
      </w:tr>
      <w:tr>
        <w:tc>
          <w:tcPr/>
          <w:p>
            <w:pPr>
              <w:pStyle w:val="Compact"/>
            </w:pPr>
            <w:r>
              <w:t xml:space="preserve">Agent-path clarification behaviour</w:t>
            </w:r>
          </w:p>
        </w:tc>
        <w:tc>
          <w:tcPr/>
          <w:p>
            <w:pPr>
              <w:pStyle w:val="Compact"/>
            </w:pPr>
            <w:r>
              <w:t xml:space="preserve">Designed</w:t>
            </w:r>
          </w:p>
        </w:tc>
        <w:tc>
          <w:tcPr/>
          <w:p>
            <w:pPr>
              <w:pStyle w:val="Compact"/>
            </w:pPr>
            <w:r>
              <w:t xml:space="preserve">Not active in the evaluated posture</w:t>
            </w:r>
          </w:p>
        </w:tc>
        <w:tc>
          <w:tcPr/>
          <w:p>
            <w:pPr>
              <w:pStyle w:val="Compact"/>
            </w:pPr>
            <w:r>
              <w:t xml:space="preserve">Not validated across live tolerance settings</w:t>
            </w:r>
          </w:p>
        </w:tc>
      </w:tr>
      <w:tr>
        <w:tc>
          <w:tcPr/>
          <w:p>
            <w:pPr>
              <w:pStyle w:val="Compact"/>
            </w:pPr>
            <w:r>
              <w:t xml:space="preserve">Adapter enforcement branch</w:t>
            </w:r>
          </w:p>
        </w:tc>
        <w:tc>
          <w:tcPr/>
          <w:p>
            <w:pPr>
              <w:pStyle w:val="Compact"/>
            </w:pPr>
            <w:r>
              <w:t xml:space="preserve">Present in the adapter interface; deployment configuration selects observation or enforcement</w:t>
            </w:r>
          </w:p>
        </w:tc>
        <w:tc>
          <w:tcPr/>
          <w:p>
            <w:pPr>
              <w:pStyle w:val="Compact"/>
            </w:pPr>
            <w:r>
              <w:t xml:space="preserve">Inactive under</w:t>
            </w:r>
            <w:r>
              <w:t xml:space="preserve"> </w:t>
            </w:r>
            <w:r>
              <w:rPr>
                <w:rStyle w:val="VerbatimChar"/>
              </w:rPr>
              <w:t xml:space="preserve">gateMode: observe</w:t>
            </w:r>
            <w:r>
              <w:t xml:space="preserve"> </w:t>
            </w:r>
            <w:r>
              <w:t xml:space="preserve">and</w:t>
            </w:r>
            <w:r>
              <w:t xml:space="preserve"> </w:t>
            </w:r>
            <w:r>
              <w:rPr>
                <w:rStyle w:val="VerbatimChar"/>
              </w:rPr>
              <w:t xml:space="preserve">failPolicy: open</w:t>
            </w:r>
          </w:p>
        </w:tc>
        <w:tc>
          <w:tcPr/>
          <w:p>
            <w:pPr>
              <w:pStyle w:val="Compact"/>
            </w:pPr>
            <w:r>
              <w:t xml:space="preserve">No universal prevention claim</w:t>
            </w:r>
          </w:p>
        </w:tc>
      </w:tr>
      <w:tr>
        <w:tc>
          <w:tcPr/>
          <w:p>
            <w:pPr>
              <w:pStyle w:val="Compact"/>
            </w:pPr>
            <w:r>
              <w:t xml:space="preserve">Documentation-to-Manifest compilation</w:t>
            </w:r>
          </w:p>
        </w:tc>
        <w:tc>
          <w:tcPr/>
          <w:p>
            <w:pPr>
              <w:pStyle w:val="Compact"/>
            </w:pPr>
            <w:r>
              <w:t xml:space="preserve">Designed</w:t>
            </w:r>
          </w:p>
        </w:tc>
        <w:tc>
          <w:tcPr/>
          <w:p>
            <w:pPr>
              <w:pStyle w:val="Compact"/>
            </w:pPr>
            <w:r>
              <w:t xml:space="preserve">Not built</w:t>
            </w:r>
          </w:p>
        </w:tc>
        <w:tc>
          <w:tcPr/>
          <w:p>
            <w:pPr>
              <w:pStyle w:val="Compact"/>
            </w:pPr>
            <w:r>
              <w:t xml:space="preserve">Not validated</w:t>
            </w:r>
          </w:p>
        </w:tc>
      </w:tr>
      <w:tr>
        <w:tc>
          <w:tcPr/>
          <w:p>
            <w:pPr>
              <w:pStyle w:val="Compact"/>
            </w:pPr>
            <w:r>
              <w:t xml:space="preserve">Full improvement cycle (section 12B)</w:t>
            </w:r>
          </w:p>
        </w:tc>
        <w:tc>
          <w:tcPr/>
          <w:p>
            <w:pPr>
              <w:pStyle w:val="Compact"/>
            </w:pPr>
            <w:r>
              <w:t xml:space="preserve">Designed, partial</w:t>
            </w:r>
          </w:p>
        </w:tc>
        <w:tc>
          <w:tcPr/>
          <w:p>
            <w:pPr>
              <w:pStyle w:val="Compact"/>
            </w:pPr>
            <w:r>
              <w:t xml:space="preserve">Not the current operating mode</w:t>
            </w:r>
          </w:p>
        </w:tc>
        <w:tc>
          <w:tcPr/>
          <w:p>
            <w:pPr>
              <w:pStyle w:val="Compact"/>
            </w:pPr>
            <w:r>
              <w:t xml:space="preserve">Not validated</w:t>
            </w:r>
          </w:p>
        </w:tc>
      </w:tr>
    </w:tbl>
    <w:p>
      <w:pPr>
        <w:pStyle w:val="BodyText"/>
      </w:pPr>
      <w:r>
        <w:t xml:space="preserve">Two conventions govern this table.</w:t>
      </w:r>
      <w:r>
        <w:t xml:space="preserve"> </w:t>
      </w:r>
      <w:r>
        <w:rPr>
          <w:b/>
          <w:bCs/>
        </w:rPr>
        <w:t xml:space="preserve">Designed</w:t>
      </w:r>
      <w:r>
        <w:t xml:space="preserve"> </w:t>
      </w:r>
      <w:r>
        <w:t xml:space="preserve">means specified but not demonstrated by</w:t>
      </w:r>
      <w:r>
        <w:t xml:space="preserve"> </w:t>
      </w:r>
      <w:r>
        <w:t xml:space="preserve">executable evidence.</w:t>
      </w:r>
      <w:r>
        <w:t xml:space="preserve"> </w:t>
      </w:r>
      <w:r>
        <w:rPr>
          <w:b/>
          <w:bCs/>
        </w:rPr>
        <w:t xml:space="preserve">Inactive</w:t>
      </w:r>
      <w:r>
        <w:t xml:space="preserve"> </w:t>
      </w:r>
      <w:r>
        <w:t xml:space="preserve">means a code path exists but the current configuration does not</w:t>
      </w:r>
      <w:r>
        <w:t xml:space="preserve"> </w:t>
      </w:r>
      <w:r>
        <w:t xml:space="preserve">select it; that is a different state from unbuilt, and it is why a single roadmap label is</w:t>
      </w:r>
      <w:r>
        <w:t xml:space="preserve"> </w:t>
      </w:r>
      <w:r>
        <w:t xml:space="preserve">insufficient.</w:t>
      </w:r>
    </w:p>
    <w:bookmarkEnd w:id="50"/>
    <w:bookmarkStart w:id="51" w:name="Xc806365baceb0f0ba3169c6fe2b68b200eececf"/>
    <w:p>
      <w:pPr>
        <w:pStyle w:val="Heading2"/>
      </w:pPr>
      <w:r>
        <w:t xml:space="preserve">12B. Designed improvement cycle and current implementation status</w:t>
      </w:r>
    </w:p>
    <w:p>
      <w:pPr>
        <w:pStyle w:val="FirstParagraph"/>
      </w:pPr>
      <w:r>
        <w:t xml:space="preserve">The quality-systems improvement cycle is a useful frame for how a governed deployment is intended</w:t>
      </w:r>
      <w:r>
        <w:t xml:space="preserve"> </w:t>
      </w:r>
      <w:r>
        <w:t xml:space="preserve">to improve over time. Its phases do not share a single state, so each is given its own.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Phase</w:t>
            </w:r>
          </w:p>
        </w:tc>
        <w:tc>
          <w:tcPr/>
          <w:p>
            <w:pPr>
              <w:pStyle w:val="Compact"/>
            </w:pPr>
            <w:r>
              <w:t xml:space="preserve">What it means here</w:t>
            </w:r>
          </w:p>
        </w:tc>
        <w:tc>
          <w:tcPr/>
          <w:p>
            <w:pPr>
              <w:pStyle w:val="Compact"/>
            </w:pPr>
            <w:r>
              <w:t xml:space="preserve">State</w:t>
            </w:r>
          </w:p>
        </w:tc>
      </w:tr>
      <w:tr>
        <w:tc>
          <w:tcPr/>
          <w:p>
            <w:pPr>
              <w:pStyle w:val="Compact"/>
            </w:pPr>
            <w:r>
              <w:t xml:space="preserve">Define</w:t>
            </w:r>
          </w:p>
        </w:tc>
        <w:tc>
          <w:tcPr/>
          <w:p>
            <w:pPr>
              <w:pStyle w:val="Compact"/>
            </w:pPr>
            <w:r>
              <w:t xml:space="preserve">The principal approves the operational specification and the tolerance configuration before deployment</w:t>
            </w:r>
          </w:p>
        </w:tc>
        <w:tc>
          <w:tcPr/>
          <w:p>
            <w:pPr>
              <w:pStyle w:val="Compact"/>
            </w:pPr>
            <w:r>
              <w:t xml:space="preserve">Current practice, performed through manual approval and configuration. The documentation-to-Manifest compiler is designed and not built</w:t>
            </w:r>
          </w:p>
        </w:tc>
      </w:tr>
      <w:tr>
        <w:tc>
          <w:tcPr/>
          <w:p>
            <w:pPr>
              <w:pStyle w:val="Compact"/>
            </w:pPr>
            <w:r>
              <w:t xml:space="preserve">Measure</w:t>
            </w:r>
          </w:p>
        </w:tc>
        <w:tc>
          <w:tcPr/>
          <w:p>
            <w:pPr>
              <w:pStyle w:val="Compact"/>
            </w:pPr>
            <w:r>
              <w:t xml:space="preserve">Per-action measurement of submitted actions against the fixed reference</w:t>
            </w:r>
          </w:p>
        </w:tc>
        <w:tc>
          <w:tcPr/>
          <w:p>
            <w:pPr>
              <w:pStyle w:val="Compact"/>
            </w:pPr>
            <w:r>
              <w:t xml:space="preserve">Current, on instrumented paths</w:t>
            </w:r>
          </w:p>
        </w:tc>
      </w:tr>
      <w:tr>
        <w:tc>
          <w:tcPr/>
          <w:p>
            <w:pPr>
              <w:pStyle w:val="Compact"/>
            </w:pPr>
            <w:r>
              <w:t xml:space="preserve">Analyze</w:t>
            </w:r>
          </w:p>
        </w:tc>
        <w:tc>
          <w:tcPr/>
          <w:p>
            <w:pPr>
              <w:pStyle w:val="Compact"/>
            </w:pPr>
            <w:r>
              <w:t xml:space="preserve">Recorded per-dimension scores, flags, and baseline-relative trends</w:t>
            </w:r>
          </w:p>
        </w:tc>
        <w:tc>
          <w:tcPr/>
          <w:p>
            <w:pPr>
              <w:pStyle w:val="Compact"/>
            </w:pPr>
            <w:r>
              <w:t xml:space="preserve">Current. This is recorded variation, not demonstrated causal root-cause analysis</w:t>
            </w:r>
          </w:p>
        </w:tc>
      </w:tr>
      <w:tr>
        <w:tc>
          <w:tcPr/>
          <w:p>
            <w:pPr>
              <w:pStyle w:val="Compact"/>
            </w:pPr>
            <w:r>
              <w:t xml:space="preserve">Improve</w:t>
            </w:r>
          </w:p>
        </w:tc>
        <w:tc>
          <w:tcPr/>
          <w:p>
            <w:pPr>
              <w:pStyle w:val="Compact"/>
            </w:pPr>
            <w:r>
              <w:t xml:space="preserve">Designed</w:t>
            </w:r>
            <w:r>
              <w:t xml:space="preserve"> </w:t>
            </w:r>
            <w:r>
              <w:rPr>
                <w:rStyle w:val="VerbatimChar"/>
              </w:rPr>
              <w:t xml:space="preserve">clarify</w:t>
            </w:r>
            <w:r>
              <w:t xml:space="preserve"> </w:t>
            </w:r>
            <w:r>
              <w:t xml:space="preserve">behaviour, resolving proximity or ambiguity on the agent path before an action proceeds</w:t>
            </w:r>
          </w:p>
        </w:tc>
        <w:tc>
          <w:tcPr/>
          <w:p>
            <w:pPr>
              <w:pStyle w:val="Compact"/>
            </w:pPr>
            <w:r>
              <w:t xml:space="preserve">Designed. Not active in the evaluated posture, and live behaviour across varied tolerance settings is not validated</w:t>
            </w:r>
          </w:p>
        </w:tc>
      </w:tr>
      <w:tr>
        <w:tc>
          <w:tcPr/>
          <w:p>
            <w:pPr>
              <w:pStyle w:val="Compact"/>
            </w:pPr>
            <w:r>
              <w:t xml:space="preserve">Control</w:t>
            </w:r>
          </w:p>
        </w:tc>
        <w:tc>
          <w:tcPr/>
          <w:p>
            <w:pPr>
              <w:pStyle w:val="Compact"/>
            </w:pPr>
            <w:r>
              <w:t xml:space="preserve">Operator-owned tolerance configuration, escalation policy, versioning, and the adapter enforcement branch where a deployment selects it</w:t>
            </w:r>
          </w:p>
        </w:tc>
        <w:tc>
          <w:tcPr/>
          <w:p>
            <w:pPr>
              <w:pStyle w:val="Compact"/>
            </w:pPr>
            <w:r>
              <w:t xml:space="preserve">Configuration and policy are current. Enforcement is inactive under</w:t>
            </w:r>
            <w:r>
              <w:t xml:space="preserve"> </w:t>
            </w:r>
            <w:r>
              <w:rPr>
                <w:rStyle w:val="VerbatimChar"/>
              </w:rPr>
              <w:t xml:space="preserve">observe</w:t>
            </w:r>
            <w:r>
              <w:t xml:space="preserve"> </w:t>
            </w:r>
            <w:r>
              <w:t xml:space="preserve">/</w:t>
            </w:r>
            <w:r>
              <w:t xml:space="preserve"> </w:t>
            </w:r>
            <w:r>
              <w:rPr>
                <w:rStyle w:val="VerbatimChar"/>
              </w:rPr>
              <w:t xml:space="preserve">open</w:t>
            </w:r>
            <w:r>
              <w:t xml:space="preserve">. No closed-loop convergence is claimed</w:t>
            </w:r>
          </w:p>
        </w:tc>
      </w:tr>
    </w:tbl>
    <w:p>
      <w:pPr>
        <w:pStyle w:val="BodyText"/>
      </w:pPr>
      <w:r>
        <w:rPr>
          <w:b/>
          <w:bCs/>
        </w:rPr>
        <w:t xml:space="preserve">This cycle does not execute per turn in the evaluated configuration.</w:t>
      </w:r>
      <w:r>
        <w:t xml:space="preserve"> </w:t>
      </w:r>
      <w:r>
        <w:t xml:space="preserve">Under</w:t>
      </w:r>
      <w:r>
        <w:t xml:space="preserve"> </w:t>
      </w:r>
      <w:r>
        <w:rPr>
          <w:rStyle w:val="VerbatimChar"/>
        </w:rPr>
        <w:t xml:space="preserve">observe</w:t>
      </w:r>
      <w:r>
        <w:t xml:space="preserve"> </w:t>
      </w:r>
      <w:r>
        <w:t xml:space="preserve">and</w:t>
      </w:r>
      <w:r>
        <w:t xml:space="preserve"> </w:t>
      </w:r>
      <w:r>
        <w:rPr>
          <w:rStyle w:val="VerbatimChar"/>
        </w:rPr>
        <w:t xml:space="preserve">open</w:t>
      </w:r>
      <w:r>
        <w:t xml:space="preserve"> </w:t>
      </w:r>
      <w:r>
        <w:t xml:space="preserve">the action proceeds while the result is recorded and may be surfaced. Nothing in this</w:t>
      </w:r>
      <w:r>
        <w:t xml:space="preserve"> </w:t>
      </w:r>
      <w:r>
        <w:t xml:space="preserve">section transfers the idealized actuated result of Section 8 to the designed cycle; that result</w:t>
      </w:r>
      <w:r>
        <w:t xml:space="preserve"> </w:t>
      </w:r>
      <w:r>
        <w:t xml:space="preserve">applies to an idealized actuated case and carries no evidentiary force for a discrete agent</w:t>
      </w:r>
      <w:r>
        <w:t xml:space="preserve"> </w:t>
      </w:r>
      <w:r>
        <w:t xml:space="preserve">reasoning loop until its actuator, feedback timing, and measured outcome are specified and</w:t>
      </w:r>
      <w:r>
        <w:t xml:space="preserve"> </w:t>
      </w:r>
      <w:r>
        <w:t xml:space="preserve">tested.</w:t>
      </w:r>
    </w:p>
    <w:p>
      <w:pPr>
        <w:pStyle w:val="BodyText"/>
      </w:pPr>
      <w:r>
        <w:rPr>
          <w:b/>
          <w:bCs/>
        </w:rPr>
        <w:t xml:space="preserve">A designed cycle cannot govern an action it never receives.</w:t>
      </w:r>
      <w:r>
        <w:t xml:space="preserve"> </w:t>
      </w:r>
      <w:r>
        <w:t xml:space="preserve">Coverage extends only to actions</w:t>
      </w:r>
      <w:r>
        <w:t xml:space="preserve"> </w:t>
      </w:r>
      <w:r>
        <w:t xml:space="preserve">submitted on integrated paths.</w:t>
      </w:r>
    </w:p>
    <w:p>
      <w:pPr>
        <w:pStyle w:val="BodyText"/>
      </w:pPr>
      <w:r>
        <w:rPr>
          <w:b/>
          <w:bCs/>
        </w:rPr>
        <w:t xml:space="preserve">Configuration evidence limits apply.</w:t>
      </w:r>
      <w:r>
        <w:t xml:space="preserve"> </w:t>
      </w:r>
      <w:r>
        <w:t xml:space="preserve">As Section 10.4 states, the active thresholds and</w:t>
      </w:r>
      <w:r>
        <w:t xml:space="preserve"> </w:t>
      </w:r>
      <w:r>
        <w:t xml:space="preserve">optional components are not bound into the current per-action receipt, so a receipt alone does</w:t>
      </w:r>
      <w:r>
        <w:t xml:space="preserve"> </w:t>
      </w:r>
      <w:r>
        <w:t xml:space="preserve">not establish which tolerance configuration, verdict thresholds, micro-judge setting, or</w:t>
      </w:r>
      <w:r>
        <w:t xml:space="preserve"> </w:t>
      </w:r>
      <w:r>
        <w:t xml:space="preserve">enforcement mode was in force.</w:t>
      </w:r>
    </w:p>
    <w:bookmarkEnd w:id="51"/>
    <w:bookmarkStart w:id="54" w:name="disclosure-boundary"/>
    <w:p>
      <w:pPr>
        <w:pStyle w:val="Heading2"/>
      </w:pPr>
      <w:r>
        <w:t xml:space="preserve">13. Disclosure boundary</w:t>
      </w:r>
    </w:p>
    <w:bookmarkStart w:id="52" w:name="disclosed"/>
    <w:p>
      <w:pPr>
        <w:pStyle w:val="Heading3"/>
      </w:pPr>
      <w:r>
        <w:t xml:space="preserve">13.1 Disclosed</w:t>
      </w:r>
    </w:p>
    <w:p>
      <w:pPr>
        <w:pStyle w:val="Compact"/>
        <w:numPr>
          <w:ilvl w:val="0"/>
          <w:numId w:val="1013"/>
        </w:numPr>
      </w:pPr>
      <w:r>
        <w:t xml:space="preserve">External fixed-reference architecture</w:t>
      </w:r>
    </w:p>
    <w:p>
      <w:pPr>
        <w:pStyle w:val="Compact"/>
        <w:numPr>
          <w:ilvl w:val="0"/>
          <w:numId w:val="1013"/>
        </w:numPr>
      </w:pPr>
      <w:r>
        <w:t xml:space="preserve">Manifest and Purpose Anchor distinction</w:t>
      </w:r>
    </w:p>
    <w:p>
      <w:pPr>
        <w:pStyle w:val="Compact"/>
        <w:numPr>
          <w:ilvl w:val="0"/>
          <w:numId w:val="1013"/>
        </w:numPr>
      </w:pPr>
      <w:r>
        <w:t xml:space="preserve">Cosine fidelity relationship</w:t>
      </w:r>
    </w:p>
    <w:p>
      <w:pPr>
        <w:pStyle w:val="Compact"/>
        <w:numPr>
          <w:ilvl w:val="0"/>
          <w:numId w:val="1013"/>
        </w:numPr>
      </w:pPr>
      <w:r>
        <w:t xml:space="preserve">Complete motivating attention and drift formalization</w:t>
      </w:r>
    </w:p>
    <w:p>
      <w:pPr>
        <w:pStyle w:val="Compact"/>
        <w:numPr>
          <w:ilvl w:val="0"/>
          <w:numId w:val="1013"/>
        </w:numPr>
      </w:pPr>
      <w:r>
        <w:t xml:space="preserve">Proportional escalation relationship</w:t>
      </w:r>
    </w:p>
    <w:p>
      <w:pPr>
        <w:pStyle w:val="Compact"/>
        <w:numPr>
          <w:ilvl w:val="0"/>
          <w:numId w:val="1013"/>
        </w:numPr>
      </w:pPr>
      <w:r>
        <w:t xml:space="preserve">Attractor and basin interpretation</w:t>
      </w:r>
    </w:p>
    <w:p>
      <w:pPr>
        <w:pStyle w:val="Compact"/>
        <w:numPr>
          <w:ilvl w:val="0"/>
          <w:numId w:val="1013"/>
        </w:numPr>
      </w:pPr>
      <w:r>
        <w:t xml:space="preserve">Five named agentic dimensions</w:t>
      </w:r>
    </w:p>
    <w:p>
      <w:pPr>
        <w:pStyle w:val="Compact"/>
        <w:numPr>
          <w:ilvl w:val="0"/>
          <w:numId w:val="1013"/>
        </w:numPr>
      </w:pPr>
      <w:r>
        <w:t xml:space="preserve">Goal versus prohibition distinction</w:t>
      </w:r>
    </w:p>
    <w:p>
      <w:pPr>
        <w:pStyle w:val="Compact"/>
        <w:numPr>
          <w:ilvl w:val="0"/>
          <w:numId w:val="1013"/>
        </w:numPr>
      </w:pPr>
      <w:r>
        <w:t xml:space="preserve">Baseline-relative EWMA presence</w:t>
      </w:r>
    </w:p>
    <w:p>
      <w:pPr>
        <w:pStyle w:val="Compact"/>
        <w:numPr>
          <w:ilvl w:val="0"/>
          <w:numId w:val="1013"/>
        </w:numPr>
      </w:pPr>
      <w:r>
        <w:t xml:space="preserve">Observation and enforcement configuration distinction</w:t>
      </w:r>
    </w:p>
    <w:p>
      <w:pPr>
        <w:pStyle w:val="Compact"/>
        <w:numPr>
          <w:ilvl w:val="0"/>
          <w:numId w:val="1013"/>
        </w:numPr>
      </w:pPr>
      <w:r>
        <w:t xml:space="preserve">Runtime output categories</w:t>
      </w:r>
    </w:p>
    <w:p>
      <w:pPr>
        <w:pStyle w:val="Compact"/>
        <w:numPr>
          <w:ilvl w:val="0"/>
          <w:numId w:val="1013"/>
        </w:numPr>
      </w:pPr>
      <w:r>
        <w:t xml:space="preserve">Public benchmark operating points where published</w:t>
      </w:r>
    </w:p>
    <w:bookmarkEnd w:id="52"/>
    <w:bookmarkStart w:id="53" w:name="held-under-nda"/>
    <w:p>
      <w:pPr>
        <w:pStyle w:val="Heading3"/>
      </w:pPr>
      <w:r>
        <w:t xml:space="preserve">13.2 Held under NDA</w:t>
      </w:r>
    </w:p>
    <w:p>
      <w:pPr>
        <w:pStyle w:val="Compact"/>
        <w:numPr>
          <w:ilvl w:val="0"/>
          <w:numId w:val="1014"/>
        </w:numPr>
      </w:pPr>
      <w:r>
        <w:t xml:space="preserve">Production embedding configuration</w:t>
      </w:r>
    </w:p>
    <w:p>
      <w:pPr>
        <w:pStyle w:val="Compact"/>
        <w:numPr>
          <w:ilvl w:val="0"/>
          <w:numId w:val="1014"/>
        </w:numPr>
      </w:pPr>
      <w:r>
        <w:t xml:space="preserve">Boundary corpus</w:t>
      </w:r>
    </w:p>
    <w:p>
      <w:pPr>
        <w:pStyle w:val="Compact"/>
        <w:numPr>
          <w:ilvl w:val="0"/>
          <w:numId w:val="1014"/>
        </w:numPr>
      </w:pPr>
      <w:r>
        <w:t xml:space="preserve">Centroid construction</w:t>
      </w:r>
    </w:p>
    <w:p>
      <w:pPr>
        <w:pStyle w:val="Compact"/>
        <w:numPr>
          <w:ilvl w:val="0"/>
          <w:numId w:val="1014"/>
        </w:numPr>
      </w:pPr>
      <w:r>
        <w:t xml:space="preserve">Manifest compilation pipeline</w:t>
      </w:r>
    </w:p>
    <w:p>
      <w:pPr>
        <w:pStyle w:val="Compact"/>
        <w:numPr>
          <w:ilvl w:val="0"/>
          <w:numId w:val="1014"/>
        </w:numPr>
      </w:pPr>
      <w:r>
        <w:t xml:space="preserve">Deployment-specific weights and thresholds not published with benchmarks</w:t>
      </w:r>
    </w:p>
    <w:p>
      <w:pPr>
        <w:pStyle w:val="Compact"/>
        <w:numPr>
          <w:ilvl w:val="0"/>
          <w:numId w:val="1014"/>
        </w:numPr>
      </w:pPr>
      <w:r>
        <w:t xml:space="preserve">EWMA constants and detailed baseline logic</w:t>
      </w:r>
    </w:p>
    <w:p>
      <w:pPr>
        <w:pStyle w:val="Compact"/>
        <w:numPr>
          <w:ilvl w:val="0"/>
          <w:numId w:val="1014"/>
        </w:numPr>
      </w:pPr>
      <w:r>
        <w:t xml:space="preserve">Scoring subsystem internals</w:t>
      </w:r>
    </w:p>
    <w:p>
      <w:pPr>
        <w:pStyle w:val="Compact"/>
        <w:numPr>
          <w:ilvl w:val="0"/>
          <w:numId w:val="1014"/>
        </w:numPr>
      </w:pPr>
      <w:r>
        <w:t xml:space="preserve">Signing implementation</w:t>
      </w:r>
    </w:p>
    <w:p>
      <w:pPr>
        <w:pStyle w:val="Compact"/>
        <w:numPr>
          <w:ilvl w:val="0"/>
          <w:numId w:val="1014"/>
        </w:numPr>
      </w:pPr>
      <w:r>
        <w:t xml:space="preserve">Validation runners, protocol details, and specific scoring configuration</w:t>
      </w:r>
    </w:p>
    <w:p>
      <w:pPr>
        <w:pStyle w:val="FirstParagraph"/>
      </w:pPr>
      <w:r>
        <w:t xml:space="preserve">The disclosed method explains the architecture and motivating mathematics. It does not permit an outside party to reconstruct the calibrated production engine.</w:t>
      </w:r>
    </w:p>
    <w:bookmarkEnd w:id="53"/>
    <w:bookmarkEnd w:id="54"/>
    <w:bookmarkStart w:id="55" w:name="method-boundaries"/>
    <w:p>
      <w:pPr>
        <w:pStyle w:val="Heading2"/>
      </w:pPr>
      <w:r>
        <w:t xml:space="preserve">14. Method boundaries</w:t>
      </w:r>
    </w:p>
    <w:p>
      <w:pPr>
        <w:pStyle w:val="FirstParagraph"/>
      </w:pPr>
      <w:r>
        <w:t xml:space="preserve">The method should be read with five standing boundaries:</w:t>
      </w:r>
    </w:p>
    <w:p>
      <w:pPr>
        <w:pStyle w:val="Compact"/>
        <w:numPr>
          <w:ilvl w:val="0"/>
          <w:numId w:val="1015"/>
        </w:numPr>
      </w:pPr>
      <w:r>
        <w:rPr>
          <w:b/>
          <w:bCs/>
        </w:rPr>
        <w:t xml:space="preserve">Construct validity.</w:t>
      </w:r>
      <w:r>
        <w:t xml:space="preserve"> </w:t>
      </w:r>
      <w:r>
        <w:t xml:space="preserve">Similarity to a declared reference is not automatically equivalent to authorization or compliance.</w:t>
      </w:r>
    </w:p>
    <w:p>
      <w:pPr>
        <w:pStyle w:val="Compact"/>
        <w:numPr>
          <w:ilvl w:val="0"/>
          <w:numId w:val="1015"/>
        </w:numPr>
      </w:pPr>
      <w:r>
        <w:rPr>
          <w:b/>
          <w:bCs/>
        </w:rPr>
        <w:t xml:space="preserve">Configuration dependence.</w:t>
      </w:r>
      <w:r>
        <w:t xml:space="preserve"> </w:t>
      </w:r>
      <w:r>
        <w:t xml:space="preserve">Results depend on the embedding model, corpus, centroids, weights, thresholds, and optional components.</w:t>
      </w:r>
    </w:p>
    <w:p>
      <w:pPr>
        <w:pStyle w:val="Compact"/>
        <w:numPr>
          <w:ilvl w:val="0"/>
          <w:numId w:val="1015"/>
        </w:numPr>
      </w:pPr>
      <w:r>
        <w:rPr>
          <w:b/>
          <w:bCs/>
        </w:rPr>
        <w:t xml:space="preserve">Instrumentation dependence.</w:t>
      </w:r>
      <w:r>
        <w:t xml:space="preserve"> </w:t>
      </w:r>
      <w:r>
        <w:t xml:space="preserve">Only submitted actions are measured.</w:t>
      </w:r>
    </w:p>
    <w:p>
      <w:pPr>
        <w:pStyle w:val="Compact"/>
        <w:numPr>
          <w:ilvl w:val="0"/>
          <w:numId w:val="1015"/>
        </w:numPr>
      </w:pPr>
      <w:r>
        <w:rPr>
          <w:b/>
          <w:bCs/>
        </w:rPr>
        <w:t xml:space="preserve">Specification dependence.</w:t>
      </w:r>
      <w:r>
        <w:t xml:space="preserve"> </w:t>
      </w:r>
      <w:r>
        <w:t xml:space="preserve">A poor Manifest creates a poor reference.</w:t>
      </w:r>
    </w:p>
    <w:p>
      <w:pPr>
        <w:pStyle w:val="Compact"/>
        <w:numPr>
          <w:ilvl w:val="0"/>
          <w:numId w:val="1015"/>
        </w:numPr>
      </w:pPr>
      <w:r>
        <w:rPr>
          <w:b/>
          <w:bCs/>
        </w:rPr>
        <w:t xml:space="preserve">Evidence dependence.</w:t>
      </w:r>
      <w:r>
        <w:t xml:space="preserve"> </w:t>
      </w:r>
      <w:r>
        <w:t xml:space="preserve">A signed score proves integrity of covered fields, not validity of the scorer.</w:t>
      </w:r>
    </w:p>
    <w:bookmarkEnd w:id="55"/>
    <w:bookmarkStart w:id="72" w:name="technical-references"/>
    <w:p>
      <w:pPr>
        <w:pStyle w:val="Heading2"/>
      </w:pPr>
      <w:r>
        <w:t xml:space="preserve">15. Technical references</w:t>
      </w:r>
    </w:p>
    <w:p>
      <w:pPr>
        <w:pStyle w:val="Compact"/>
        <w:numPr>
          <w:ilvl w:val="0"/>
          <w:numId w:val="1016"/>
        </w:numPr>
      </w:pPr>
      <w:r>
        <w:t xml:space="preserve">Astrom, K. J., and Murray, R. M.</w:t>
      </w:r>
      <w:r>
        <w:t xml:space="preserve"> </w:t>
      </w:r>
      <w:hyperlink r:id="rId56">
        <w:r>
          <w:rPr>
            <w:rStyle w:val="Hyperlink"/>
          </w:rPr>
          <w:t xml:space="preserve">Feedback Systems</w:t>
        </w:r>
      </w:hyperlink>
      <w:r>
        <w:t xml:space="preserve">. Princeton University Press, 2008.</w:t>
      </w:r>
    </w:p>
    <w:p>
      <w:pPr>
        <w:pStyle w:val="Compact"/>
        <w:numPr>
          <w:ilvl w:val="0"/>
          <w:numId w:val="1016"/>
        </w:numPr>
      </w:pPr>
      <w:r>
        <w:t xml:space="preserve">Bovens, M.</w:t>
      </w:r>
      <w:r>
        <w:t xml:space="preserve"> </w:t>
      </w:r>
      <w:hyperlink r:id="rId57">
        <w:r>
          <w:rPr>
            <w:rStyle w:val="Hyperlink"/>
          </w:rPr>
          <w:t xml:space="preserve">Analysing and Assessing Accountability</w:t>
        </w:r>
      </w:hyperlink>
      <w:r>
        <w:t xml:space="preserve">. European Law Journal, 2007.</w:t>
      </w:r>
    </w:p>
    <w:p>
      <w:pPr>
        <w:pStyle w:val="Compact"/>
        <w:numPr>
          <w:ilvl w:val="0"/>
          <w:numId w:val="1016"/>
        </w:numPr>
      </w:pPr>
      <w:r>
        <w:t xml:space="preserve">Cover, T. M., and Thomas, J. A.</w:t>
      </w:r>
      <w:r>
        <w:t xml:space="preserve"> </w:t>
      </w:r>
      <w:hyperlink r:id="rId58">
        <w:r>
          <w:rPr>
            <w:rStyle w:val="Hyperlink"/>
          </w:rPr>
          <w:t xml:space="preserve">Elements of Information Theory</w:t>
        </w:r>
      </w:hyperlink>
      <w:r>
        <w:t xml:space="preserve">. 2nd edition, 2006.</w:t>
      </w:r>
    </w:p>
    <w:p>
      <w:pPr>
        <w:pStyle w:val="Compact"/>
        <w:numPr>
          <w:ilvl w:val="0"/>
          <w:numId w:val="1016"/>
        </w:numPr>
      </w:pPr>
      <w:r>
        <w:t xml:space="preserve">Gu, X., et al. </w:t>
      </w:r>
      <w:hyperlink r:id="rId59">
        <w:r>
          <w:rPr>
            <w:rStyle w:val="Hyperlink"/>
          </w:rPr>
          <w:t xml:space="preserve">When Attention Sink Emerges in Language Models</w:t>
        </w:r>
      </w:hyperlink>
      <w:r>
        <w:t xml:space="preserve">. 2024.</w:t>
      </w:r>
    </w:p>
    <w:p>
      <w:pPr>
        <w:pStyle w:val="Compact"/>
        <w:numPr>
          <w:ilvl w:val="0"/>
          <w:numId w:val="1016"/>
        </w:numPr>
      </w:pPr>
      <w:r>
        <w:t xml:space="preserve">Hopfield, J. J.</w:t>
      </w:r>
      <w:r>
        <w:t xml:space="preserve"> </w:t>
      </w:r>
      <w:hyperlink r:id="rId60">
        <w:r>
          <w:rPr>
            <w:rStyle w:val="Hyperlink"/>
          </w:rPr>
          <w:t xml:space="preserve">Neural networks and physical systems with emergent collective computational abilities</w:t>
        </w:r>
      </w:hyperlink>
      <w:r>
        <w:t xml:space="preserve">. PNAS, 1982.</w:t>
      </w:r>
    </w:p>
    <w:p>
      <w:pPr>
        <w:pStyle w:val="Compact"/>
        <w:numPr>
          <w:ilvl w:val="0"/>
          <w:numId w:val="1016"/>
        </w:numPr>
      </w:pPr>
      <w:r>
        <w:t xml:space="preserve">Jensen, M. C., and Meckling, W. H.</w:t>
      </w:r>
      <w:r>
        <w:t xml:space="preserve"> </w:t>
      </w:r>
      <w:hyperlink r:id="rId61">
        <w:r>
          <w:rPr>
            <w:rStyle w:val="Hyperlink"/>
          </w:rPr>
          <w:t xml:space="preserve">Theory of the Firm</w:t>
        </w:r>
      </w:hyperlink>
      <w:r>
        <w:t xml:space="preserve">. Journal of Financial Economics, 1976.</w:t>
      </w:r>
    </w:p>
    <w:p>
      <w:pPr>
        <w:pStyle w:val="Compact"/>
        <w:numPr>
          <w:ilvl w:val="0"/>
          <w:numId w:val="1016"/>
        </w:numPr>
      </w:pPr>
      <w:r>
        <w:t xml:space="preserve">Khalil, H. K.</w:t>
      </w:r>
      <w:r>
        <w:t xml:space="preserve"> </w:t>
      </w:r>
      <w:hyperlink r:id="rId62">
        <w:r>
          <w:rPr>
            <w:rStyle w:val="Hyperlink"/>
          </w:rPr>
          <w:t xml:space="preserve">Nonlinear Systems</w:t>
        </w:r>
      </w:hyperlink>
      <w:r>
        <w:t xml:space="preserve">. 3rd edition, 2002.</w:t>
      </w:r>
    </w:p>
    <w:p>
      <w:pPr>
        <w:pStyle w:val="Compact"/>
        <w:numPr>
          <w:ilvl w:val="0"/>
          <w:numId w:val="1016"/>
        </w:numPr>
      </w:pPr>
      <w:r>
        <w:t xml:space="preserve">Laban, P., et al. </w:t>
      </w:r>
      <w:hyperlink r:id="rId23">
        <w:r>
          <w:rPr>
            <w:rStyle w:val="Hyperlink"/>
          </w:rPr>
          <w:t xml:space="preserve">LLMs Get Lost in Multi-Turn Conversation</w:t>
        </w:r>
      </w:hyperlink>
      <w:r>
        <w:t xml:space="preserve">. 2025.</w:t>
      </w:r>
    </w:p>
    <w:p>
      <w:pPr>
        <w:pStyle w:val="Compact"/>
        <w:numPr>
          <w:ilvl w:val="0"/>
          <w:numId w:val="1016"/>
        </w:numPr>
      </w:pPr>
      <w:r>
        <w:t xml:space="preserve">Liu, N., et al. </w:t>
      </w:r>
      <w:hyperlink r:id="rId22">
        <w:r>
          <w:rPr>
            <w:rStyle w:val="Hyperlink"/>
          </w:rPr>
          <w:t xml:space="preserve">Lost in the Middle</w:t>
        </w:r>
      </w:hyperlink>
      <w:r>
        <w:t xml:space="preserve">. 2024.</w:t>
      </w:r>
    </w:p>
    <w:p>
      <w:pPr>
        <w:pStyle w:val="Compact"/>
        <w:numPr>
          <w:ilvl w:val="0"/>
          <w:numId w:val="1016"/>
        </w:numPr>
      </w:pPr>
      <w:r>
        <w:t xml:space="preserve">Montgomery, D. C.</w:t>
      </w:r>
      <w:r>
        <w:t xml:space="preserve"> </w:t>
      </w:r>
      <w:hyperlink r:id="rId63">
        <w:r>
          <w:rPr>
            <w:rStyle w:val="Hyperlink"/>
          </w:rPr>
          <w:t xml:space="preserve">Introduction to Statistical Quality Control</w:t>
        </w:r>
      </w:hyperlink>
      <w:r>
        <w:t xml:space="preserve">. 8th edition, 2020.</w:t>
      </w:r>
    </w:p>
    <w:p>
      <w:pPr>
        <w:pStyle w:val="Compact"/>
        <w:numPr>
          <w:ilvl w:val="0"/>
          <w:numId w:val="1016"/>
        </w:numPr>
      </w:pPr>
      <w:r>
        <w:t xml:space="preserve">Murdock, B. B.</w:t>
      </w:r>
      <w:r>
        <w:t xml:space="preserve"> </w:t>
      </w:r>
      <w:hyperlink r:id="rId64">
        <w:r>
          <w:rPr>
            <w:rStyle w:val="Hyperlink"/>
          </w:rPr>
          <w:t xml:space="preserve">The serial position effect of free recall</w:t>
        </w:r>
      </w:hyperlink>
      <w:r>
        <w:t xml:space="preserve">. Journal of Experimental Psychology, 1962.</w:t>
      </w:r>
    </w:p>
    <w:p>
      <w:pPr>
        <w:pStyle w:val="Compact"/>
        <w:numPr>
          <w:ilvl w:val="0"/>
          <w:numId w:val="1016"/>
        </w:numPr>
      </w:pPr>
      <w:r>
        <w:t xml:space="preserve">Ogata, K.</w:t>
      </w:r>
      <w:r>
        <w:t xml:space="preserve"> </w:t>
      </w:r>
      <w:hyperlink r:id="rId65">
        <w:r>
          <w:rPr>
            <w:rStyle w:val="Hyperlink"/>
          </w:rPr>
          <w:t xml:space="preserve">Modern Control Engineering</w:t>
        </w:r>
      </w:hyperlink>
      <w:r>
        <w:t xml:space="preserve">. 5th edition, 2009.</w:t>
      </w:r>
    </w:p>
    <w:p>
      <w:pPr>
        <w:pStyle w:val="Compact"/>
        <w:numPr>
          <w:ilvl w:val="0"/>
          <w:numId w:val="1016"/>
        </w:numPr>
      </w:pPr>
      <w:r>
        <w:t xml:space="preserve">Ostrom, E.</w:t>
      </w:r>
      <w:r>
        <w:t xml:space="preserve"> </w:t>
      </w:r>
      <w:hyperlink r:id="rId66">
        <w:r>
          <w:rPr>
            <w:rStyle w:val="Hyperlink"/>
          </w:rPr>
          <w:t xml:space="preserve">Governing the Commons</w:t>
        </w:r>
      </w:hyperlink>
      <w:r>
        <w:t xml:space="preserve">. Cambridge University Press, 1990.</w:t>
      </w:r>
    </w:p>
    <w:p>
      <w:pPr>
        <w:pStyle w:val="Compact"/>
        <w:numPr>
          <w:ilvl w:val="0"/>
          <w:numId w:val="1016"/>
        </w:numPr>
      </w:pPr>
      <w:r>
        <w:t xml:space="preserve">Peysakhovich, A., and Lerer, A.</w:t>
      </w:r>
      <w:r>
        <w:t xml:space="preserve"> </w:t>
      </w:r>
      <w:hyperlink r:id="rId24">
        <w:r>
          <w:rPr>
            <w:rStyle w:val="Hyperlink"/>
          </w:rPr>
          <w:t xml:space="preserve">Attention Sorting Combats Recency Bias</w:t>
        </w:r>
      </w:hyperlink>
      <w:r>
        <w:t xml:space="preserve">. 2023.</w:t>
      </w:r>
    </w:p>
    <w:p>
      <w:pPr>
        <w:pStyle w:val="Compact"/>
        <w:numPr>
          <w:ilvl w:val="0"/>
          <w:numId w:val="1016"/>
        </w:numPr>
      </w:pPr>
      <w:r>
        <w:t xml:space="preserve">Reimers, N., and Gurevych, I.</w:t>
      </w:r>
      <w:r>
        <w:t xml:space="preserve"> </w:t>
      </w:r>
      <w:hyperlink r:id="rId29">
        <w:r>
          <w:rPr>
            <w:rStyle w:val="Hyperlink"/>
          </w:rPr>
          <w:t xml:space="preserve">Sentence-BERT</w:t>
        </w:r>
      </w:hyperlink>
      <w:r>
        <w:t xml:space="preserve">. EMNLP, 2019.</w:t>
      </w:r>
    </w:p>
    <w:p>
      <w:pPr>
        <w:pStyle w:val="Compact"/>
        <w:numPr>
          <w:ilvl w:val="0"/>
          <w:numId w:val="1016"/>
        </w:numPr>
      </w:pPr>
      <w:r>
        <w:t xml:space="preserve">Rottger, P., et al. </w:t>
      </w:r>
      <w:hyperlink r:id="rId67">
        <w:r>
          <w:rPr>
            <w:rStyle w:val="Hyperlink"/>
          </w:rPr>
          <w:t xml:space="preserve">XSTest</w:t>
        </w:r>
      </w:hyperlink>
      <w:r>
        <w:t xml:space="preserve">. NAACL, 2024.</w:t>
      </w:r>
    </w:p>
    <w:p>
      <w:pPr>
        <w:pStyle w:val="Compact"/>
        <w:numPr>
          <w:ilvl w:val="0"/>
          <w:numId w:val="1016"/>
        </w:numPr>
      </w:pPr>
      <w:r>
        <w:t xml:space="preserve">Shewhart, W. A.</w:t>
      </w:r>
      <w:r>
        <w:t xml:space="preserve"> </w:t>
      </w:r>
      <w:hyperlink r:id="rId68">
        <w:r>
          <w:rPr>
            <w:rStyle w:val="Hyperlink"/>
          </w:rPr>
          <w:t xml:space="preserve">Economic Control of Quality of Manufactured Product</w:t>
        </w:r>
      </w:hyperlink>
      <w:r>
        <w:t xml:space="preserve">. 1931.</w:t>
      </w:r>
    </w:p>
    <w:p>
      <w:pPr>
        <w:pStyle w:val="Compact"/>
        <w:numPr>
          <w:ilvl w:val="0"/>
          <w:numId w:val="1016"/>
        </w:numPr>
      </w:pPr>
      <w:r>
        <w:t xml:space="preserve">Sieyes, E. J.</w:t>
      </w:r>
      <w:r>
        <w:t xml:space="preserve"> </w:t>
      </w:r>
      <w:hyperlink r:id="rId69">
        <w:r>
          <w:rPr>
            <w:rStyle w:val="Hyperlink"/>
          </w:rPr>
          <w:t xml:space="preserve">Political Writings</w:t>
        </w:r>
      </w:hyperlink>
      <w:r>
        <w:t xml:space="preserve">. Original constituent-power essay published 1789.</w:t>
      </w:r>
    </w:p>
    <w:p>
      <w:pPr>
        <w:pStyle w:val="Compact"/>
        <w:numPr>
          <w:ilvl w:val="0"/>
          <w:numId w:val="1016"/>
        </w:numPr>
      </w:pPr>
      <w:r>
        <w:t xml:space="preserve">Strogatz, S. H.</w:t>
      </w:r>
      <w:r>
        <w:t xml:space="preserve"> </w:t>
      </w:r>
      <w:hyperlink r:id="rId70">
        <w:r>
          <w:rPr>
            <w:rStyle w:val="Hyperlink"/>
          </w:rPr>
          <w:t xml:space="preserve">Nonlinear Dynamics and Chaos</w:t>
        </w:r>
      </w:hyperlink>
      <w:r>
        <w:t xml:space="preserve">. 2nd edition, 2014.</w:t>
      </w:r>
    </w:p>
    <w:p>
      <w:pPr>
        <w:pStyle w:val="Compact"/>
        <w:numPr>
          <w:ilvl w:val="0"/>
          <w:numId w:val="1016"/>
        </w:numPr>
      </w:pPr>
      <w:r>
        <w:t xml:space="preserve">Vaswani, A., et al. </w:t>
      </w:r>
      <w:hyperlink r:id="rId18">
        <w:r>
          <w:rPr>
            <w:rStyle w:val="Hyperlink"/>
          </w:rPr>
          <w:t xml:space="preserve">Attention Is All You Need</w:t>
        </w:r>
      </w:hyperlink>
      <w:r>
        <w:t xml:space="preserve">. NeurIPS, 2017.</w:t>
      </w:r>
    </w:p>
    <w:p>
      <w:pPr>
        <w:pStyle w:val="Compact"/>
        <w:numPr>
          <w:ilvl w:val="0"/>
          <w:numId w:val="1016"/>
        </w:numPr>
      </w:pPr>
      <w:r>
        <w:t xml:space="preserve">Wheeler, D. J.</w:t>
      </w:r>
      <w:r>
        <w:t xml:space="preserve"> </w:t>
      </w:r>
      <w:hyperlink r:id="rId71">
        <w:r>
          <w:rPr>
            <w:rStyle w:val="Hyperlink"/>
          </w:rPr>
          <w:t xml:space="preserve">Understanding Variation</w:t>
        </w:r>
      </w:hyperlink>
      <w:r>
        <w:t xml:space="preserve">. 2nd edition, 2000.</w:t>
      </w:r>
    </w:p>
    <w:p>
      <w:pPr>
        <w:pStyle w:val="Compact"/>
        <w:numPr>
          <w:ilvl w:val="0"/>
          <w:numId w:val="1016"/>
        </w:numPr>
      </w:pPr>
      <w:r>
        <w:t xml:space="preserve">Wu, X., et al. </w:t>
      </w:r>
      <w:hyperlink r:id="rId25">
        <w:r>
          <w:rPr>
            <w:rStyle w:val="Hyperlink"/>
          </w:rPr>
          <w:t xml:space="preserve">On the Emergence of Position Bias in Transformers</w:t>
        </w:r>
      </w:hyperlink>
      <w:r>
        <w:t xml:space="preserve">. 2025.</w:t>
      </w:r>
    </w:p>
    <w:p>
      <w:pPr>
        <w:pStyle w:val="Compact"/>
        <w:numPr>
          <w:ilvl w:val="0"/>
          <w:numId w:val="1016"/>
        </w:numPr>
      </w:pPr>
      <w:r>
        <w:t xml:space="preserve">Yang, B., et al. </w:t>
      </w:r>
      <w:hyperlink r:id="rId26">
        <w:r>
          <w:rPr>
            <w:rStyle w:val="Hyperlink"/>
          </w:rPr>
          <w:t xml:space="preserve">RoPE to NoPE and Back Again</w:t>
        </w:r>
      </w:hyperlink>
      <w:r>
        <w:t xml:space="preserve">. 2025.</w:t>
      </w:r>
    </w:p>
    <w:bookmarkEnd w:id="72"/>
    <w:bookmarkEnd w:id="7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9" Target="https://aclanthology.org/D19-1410/" TargetMode="External" /><Relationship Type="http://schemas.openxmlformats.org/officeDocument/2006/relationships/hyperlink" Id="rId68" Target="https://archive.org/details/economiccontrolo00shew" TargetMode="External" /><Relationship Type="http://schemas.openxmlformats.org/officeDocument/2006/relationships/hyperlink" Id="rId18" Target="https://arxiv.org/abs/1706.03762" TargetMode="External" /><Relationship Type="http://schemas.openxmlformats.org/officeDocument/2006/relationships/hyperlink" Id="rId22" Target="https://arxiv.org/abs/2307.03172" TargetMode="External" /><Relationship Type="http://schemas.openxmlformats.org/officeDocument/2006/relationships/hyperlink" Id="rId67" Target="https://arxiv.org/abs/2308.01263" TargetMode="External" /><Relationship Type="http://schemas.openxmlformats.org/officeDocument/2006/relationships/hyperlink" Id="rId24" Target="https://arxiv.org/abs/2310.01427" TargetMode="External" /><Relationship Type="http://schemas.openxmlformats.org/officeDocument/2006/relationships/hyperlink" Id="rId59" Target="https://arxiv.org/abs/2410.10781" TargetMode="External" /><Relationship Type="http://schemas.openxmlformats.org/officeDocument/2006/relationships/hyperlink" Id="rId26" Target="https://arxiv.org/abs/2501.18795" TargetMode="External" /><Relationship Type="http://schemas.openxmlformats.org/officeDocument/2006/relationships/hyperlink" Id="rId25" Target="https://arxiv.org/abs/2502.01951" TargetMode="External" /><Relationship Type="http://schemas.openxmlformats.org/officeDocument/2006/relationships/hyperlink" Id="rId23" Target="https://arxiv.org/abs/2505.06120" TargetMode="External" /><Relationship Type="http://schemas.openxmlformats.org/officeDocument/2006/relationships/hyperlink" Id="rId61" Target="https://doi.org/10.1016/0304-405X(76)90026-X" TargetMode="External" /><Relationship Type="http://schemas.openxmlformats.org/officeDocument/2006/relationships/hyperlink" Id="rId66" Target="https://doi.org/10.1017/CBO9780511807763" TargetMode="External" /><Relationship Type="http://schemas.openxmlformats.org/officeDocument/2006/relationships/hyperlink" Id="rId64" Target="https://doi.org/10.1037/h0045106" TargetMode="External" /><Relationship Type="http://schemas.openxmlformats.org/officeDocument/2006/relationships/hyperlink" Id="rId60" Target="https://doi.org/10.1073/pnas.79.8.2554" TargetMode="External" /><Relationship Type="http://schemas.openxmlformats.org/officeDocument/2006/relationships/hyperlink" Id="rId57" Target="https://doi.org/10.1111/j.1468-0386.2007.00378.x" TargetMode="External" /><Relationship Type="http://schemas.openxmlformats.org/officeDocument/2006/relationships/hyperlink" Id="rId56" Target="https://fbsbook.org/" TargetMode="External" /><Relationship Type="http://schemas.openxmlformats.org/officeDocument/2006/relationships/hyperlink" Id="rId69" Target="https://oll.libertyfund.org/titles/sieyes-political-writings" TargetMode="External" /><Relationship Type="http://schemas.openxmlformats.org/officeDocument/2006/relationships/hyperlink" Id="rId19" Target="https://pytorch.org/docs/stable/generated/torch.nn.functional.scaled_dot_product_attention.html" TargetMode="External" /><Relationship Type="http://schemas.openxmlformats.org/officeDocument/2006/relationships/hyperlink" Id="rId65" Target="https://www.pearson.com/en-us/subject-catalog/p/modern-control-engineering/P200000003307" TargetMode="External" /><Relationship Type="http://schemas.openxmlformats.org/officeDocument/2006/relationships/hyperlink" Id="rId62" Target="https://www.pearson.com/en-us/subject-catalog/p/nonlinear-systems/P200000003318" TargetMode="External" /><Relationship Type="http://schemas.openxmlformats.org/officeDocument/2006/relationships/hyperlink" Id="rId70" Target="https://www.routledge.com/Nonlinear-Dynamics-and-Chaos/Strogatz/p/book/9780813349107" TargetMode="External" /><Relationship Type="http://schemas.openxmlformats.org/officeDocument/2006/relationships/hyperlink" Id="rId71" Target="https://www.spcpress.com/product/understanding-variation/" TargetMode="External" /><Relationship Type="http://schemas.openxmlformats.org/officeDocument/2006/relationships/hyperlink" Id="rId58" Target="https://www.wiley.com/en-us/Elements+of+Information+Theory%2C+2nd+Edition-p-9780471241959" TargetMode="External" /><Relationship Type="http://schemas.openxmlformats.org/officeDocument/2006/relationships/hyperlink" Id="rId63" Target="https://www.wiley.com/en-us/Introduction+to+Statistical+Quality+Control%2C+8th+Edition-p-9781119723097" TargetMode="External" /></Relationships>
</file>

<file path=word/_rels/footnotes.xml.rels><?xml version="1.0" encoding="UTF-8"?><Relationships xmlns="http://schemas.openxmlformats.org/package/2006/relationships"><Relationship Type="http://schemas.openxmlformats.org/officeDocument/2006/relationships/hyperlink" Id="rId29" Target="https://aclanthology.org/D19-1410/" TargetMode="External" /><Relationship Type="http://schemas.openxmlformats.org/officeDocument/2006/relationships/hyperlink" Id="rId68" Target="https://archive.org/details/economiccontrolo00shew" TargetMode="External" /><Relationship Type="http://schemas.openxmlformats.org/officeDocument/2006/relationships/hyperlink" Id="rId18" Target="https://arxiv.org/abs/1706.03762" TargetMode="External" /><Relationship Type="http://schemas.openxmlformats.org/officeDocument/2006/relationships/hyperlink" Id="rId22" Target="https://arxiv.org/abs/2307.03172" TargetMode="External" /><Relationship Type="http://schemas.openxmlformats.org/officeDocument/2006/relationships/hyperlink" Id="rId67" Target="https://arxiv.org/abs/2308.01263" TargetMode="External" /><Relationship Type="http://schemas.openxmlformats.org/officeDocument/2006/relationships/hyperlink" Id="rId24" Target="https://arxiv.org/abs/2310.01427" TargetMode="External" /><Relationship Type="http://schemas.openxmlformats.org/officeDocument/2006/relationships/hyperlink" Id="rId59" Target="https://arxiv.org/abs/2410.10781" TargetMode="External" /><Relationship Type="http://schemas.openxmlformats.org/officeDocument/2006/relationships/hyperlink" Id="rId26" Target="https://arxiv.org/abs/2501.18795" TargetMode="External" /><Relationship Type="http://schemas.openxmlformats.org/officeDocument/2006/relationships/hyperlink" Id="rId25" Target="https://arxiv.org/abs/2502.01951" TargetMode="External" /><Relationship Type="http://schemas.openxmlformats.org/officeDocument/2006/relationships/hyperlink" Id="rId23" Target="https://arxiv.org/abs/2505.06120" TargetMode="External" /><Relationship Type="http://schemas.openxmlformats.org/officeDocument/2006/relationships/hyperlink" Id="rId61" Target="https://doi.org/10.1016/0304-405X(76)90026-X" TargetMode="External" /><Relationship Type="http://schemas.openxmlformats.org/officeDocument/2006/relationships/hyperlink" Id="rId66" Target="https://doi.org/10.1017/CBO9780511807763" TargetMode="External" /><Relationship Type="http://schemas.openxmlformats.org/officeDocument/2006/relationships/hyperlink" Id="rId64" Target="https://doi.org/10.1037/h0045106" TargetMode="External" /><Relationship Type="http://schemas.openxmlformats.org/officeDocument/2006/relationships/hyperlink" Id="rId60" Target="https://doi.org/10.1073/pnas.79.8.2554" TargetMode="External" /><Relationship Type="http://schemas.openxmlformats.org/officeDocument/2006/relationships/hyperlink" Id="rId57" Target="https://doi.org/10.1111/j.1468-0386.2007.00378.x" TargetMode="External" /><Relationship Type="http://schemas.openxmlformats.org/officeDocument/2006/relationships/hyperlink" Id="rId56" Target="https://fbsbook.org/" TargetMode="External" /><Relationship Type="http://schemas.openxmlformats.org/officeDocument/2006/relationships/hyperlink" Id="rId69" Target="https://oll.libertyfund.org/titles/sieyes-political-writings" TargetMode="External" /><Relationship Type="http://schemas.openxmlformats.org/officeDocument/2006/relationships/hyperlink" Id="rId19" Target="https://pytorch.org/docs/stable/generated/torch.nn.functional.scaled_dot_product_attention.html" TargetMode="External" /><Relationship Type="http://schemas.openxmlformats.org/officeDocument/2006/relationships/hyperlink" Id="rId65" Target="https://www.pearson.com/en-us/subject-catalog/p/modern-control-engineering/P200000003307" TargetMode="External" /><Relationship Type="http://schemas.openxmlformats.org/officeDocument/2006/relationships/hyperlink" Id="rId62" Target="https://www.pearson.com/en-us/subject-catalog/p/nonlinear-systems/P200000003318" TargetMode="External" /><Relationship Type="http://schemas.openxmlformats.org/officeDocument/2006/relationships/hyperlink" Id="rId70" Target="https://www.routledge.com/Nonlinear-Dynamics-and-Chaos/Strogatz/p/book/9780813349107" TargetMode="External" /><Relationship Type="http://schemas.openxmlformats.org/officeDocument/2006/relationships/hyperlink" Id="rId71" Target="https://www.spcpress.com/product/understanding-variation/" TargetMode="External" /><Relationship Type="http://schemas.openxmlformats.org/officeDocument/2006/relationships/hyperlink" Id="rId58" Target="https://www.wiley.com/en-us/Elements+of+Information+Theory%2C+2nd+Edition-p-9780471241959" TargetMode="External" /><Relationship Type="http://schemas.openxmlformats.org/officeDocument/2006/relationships/hyperlink" Id="rId63" Target="https://www.wiley.com/en-us/Introduction+to+Statistical+Quality+Control%2C+8th+Edition-p-978111972309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TELOS Technical Method and Measurement Specification</dc:title>
  <dc:creator>TELOS AI Labs Inc.</dc:creator>
  <cp:keywords/>
  <dcterms:created xsi:type="dcterms:W3CDTF">2026-08-12T19:24:09Z</dcterms:created>
  <dcterms:modified xsi:type="dcterms:W3CDTF">2026-08-12T19:24:09Z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August 2026</vt:lpwstr>
  </property>
  <property fmtid="{D5CDD505-2E9C-101B-9397-08002B2CF9AE}" pid="3" name="status">
    <vt:lpwstr>Disclosed method with identified held components</vt:lpwstr>
  </property>
  <property fmtid="{D5CDD505-2E9C-101B-9397-08002B2CF9AE}" pid="4" name="subtitle">
    <vt:lpwstr>Purpose Anchor formation, external reference measurement, agentic dimensions, and runtime observation</vt:lpwstr>
  </property>
  <property fmtid="{D5CDD505-2E9C-101B-9397-08002B2CF9AE}" pid="5" name="version">
    <vt:lpwstr>Publication suite edition 1.0</vt:lpwstr>
  </property>
</Properties>
</file>